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BFE" w:rsidRDefault="00E26BFE">
      <w:pPr>
        <w:pStyle w:val="NormalWeb"/>
      </w:pPr>
    </w:p>
    <w:p w:rsidR="00E26BFE" w:rsidRDefault="00E26BFE">
      <w:pPr>
        <w:rPr>
          <w:rFonts w:eastAsia="Times New Roman"/>
        </w:rPr>
      </w:pPr>
    </w:p>
    <w:p w:rsidR="00E26BFE" w:rsidRDefault="00E26BFE">
      <w:pPr>
        <w:pStyle w:val="Heading2"/>
        <w:rPr>
          <w:rFonts w:eastAsia="Times New Roman"/>
        </w:rPr>
      </w:pPr>
      <w:r>
        <w:rPr>
          <w:rStyle w:val="Strong"/>
          <w:rFonts w:eastAsia="Times New Roman"/>
          <w:b w:val="0"/>
          <w:bCs w:val="0"/>
        </w:rPr>
        <w:t>Education Management Systems: The Digital Backbone of Modern Learning</w:t>
      </w:r>
    </w:p>
    <w:p w:rsidR="00E26BFE" w:rsidRDefault="00E26BFE">
      <w:pPr>
        <w:pStyle w:val="Heading3"/>
        <w:rPr>
          <w:rFonts w:eastAsia="Times New Roman"/>
        </w:rPr>
      </w:pPr>
      <w:r>
        <w:rPr>
          <w:rStyle w:val="Emphasis"/>
          <w:rFonts w:eastAsia="Times New Roman"/>
        </w:rPr>
        <w:t xml:space="preserve">By Dr. </w:t>
      </w:r>
      <w:proofErr w:type="spellStart"/>
      <w:r>
        <w:rPr>
          <w:rStyle w:val="Emphasis"/>
          <w:rFonts w:eastAsia="Times New Roman"/>
        </w:rPr>
        <w:t>Aditya</w:t>
      </w:r>
      <w:proofErr w:type="spellEnd"/>
      <w:r>
        <w:rPr>
          <w:rStyle w:val="Emphasis"/>
          <w:rFonts w:eastAsia="Times New Roman"/>
        </w:rPr>
        <w:t xml:space="preserve"> </w:t>
      </w:r>
      <w:proofErr w:type="spellStart"/>
      <w:r>
        <w:rPr>
          <w:rStyle w:val="Emphasis"/>
          <w:rFonts w:eastAsia="Times New Roman"/>
        </w:rPr>
        <w:t>Peri</w:t>
      </w:r>
      <w:proofErr w:type="spellEnd"/>
      <w:r w:rsidR="00FB77A3">
        <w:rPr>
          <w:rStyle w:val="Emphasis"/>
          <w:rFonts w:eastAsia="Times New Roman"/>
        </w:rPr>
        <w:t xml:space="preserve"> </w:t>
      </w:r>
      <w:proofErr w:type="spellStart"/>
      <w:r>
        <w:rPr>
          <w:rStyle w:val="Emphasis"/>
          <w:rFonts w:eastAsia="Times New Roman"/>
        </w:rPr>
        <w:t>Subramanya</w:t>
      </w:r>
      <w:proofErr w:type="spellEnd"/>
      <w:r>
        <w:rPr>
          <w:rStyle w:val="Emphasis"/>
          <w:rFonts w:eastAsia="Times New Roman"/>
        </w:rPr>
        <w:t xml:space="preserve"> (</w:t>
      </w:r>
      <w:proofErr w:type="spellStart"/>
      <w:r>
        <w:rPr>
          <w:rStyle w:val="Emphasis"/>
          <w:rFonts w:eastAsia="Times New Roman"/>
        </w:rPr>
        <w:t>Ed.D</w:t>
      </w:r>
      <w:proofErr w:type="spellEnd"/>
      <w:r>
        <w:rPr>
          <w:rStyle w:val="Emphasis"/>
          <w:rFonts w:eastAsia="Times New Roman"/>
        </w:rPr>
        <w:t>) (</w:t>
      </w:r>
      <w:proofErr w:type="spellStart"/>
      <w:r>
        <w:rPr>
          <w:rStyle w:val="Emphasis"/>
          <w:rFonts w:eastAsia="Times New Roman"/>
        </w:rPr>
        <w:t>h.c</w:t>
      </w:r>
      <w:proofErr w:type="spellEnd"/>
      <w:r>
        <w:rPr>
          <w:rStyle w:val="Emphasis"/>
          <w:rFonts w:eastAsia="Times New Roman"/>
        </w:rPr>
        <w:t>)</w:t>
      </w:r>
    </w:p>
    <w:p w:rsidR="00E26BFE" w:rsidRDefault="00E26BFE">
      <w:pPr>
        <w:pStyle w:val="NormalWeb"/>
        <w:rPr>
          <w:rStyle w:val="Emphasis"/>
        </w:rPr>
      </w:pPr>
      <w:r>
        <w:rPr>
          <w:rStyle w:val="Emphasis"/>
        </w:rPr>
        <w:t xml:space="preserve">Senior Educator &amp; National </w:t>
      </w:r>
      <w:proofErr w:type="spellStart"/>
      <w:r>
        <w:rPr>
          <w:rStyle w:val="Emphasis"/>
        </w:rPr>
        <w:t>Awardee</w:t>
      </w:r>
      <w:proofErr w:type="spellEnd"/>
      <w:r>
        <w:rPr>
          <w:rStyle w:val="Emphasis"/>
        </w:rPr>
        <w:t>, India</w:t>
      </w:r>
    </w:p>
    <w:p w:rsidR="0031374C" w:rsidRDefault="0031374C" w:rsidP="0031374C">
      <w:pPr>
        <w:pStyle w:val="NormalWeb"/>
      </w:pPr>
      <w:r>
        <w:t xml:space="preserve">Email: </w:t>
      </w:r>
      <w:hyperlink r:id="rId7" w:history="1">
        <w:r>
          <w:rPr>
            <w:rStyle w:val="Hyperlink"/>
          </w:rPr>
          <w:t>yajnaperi10@gmail.com</w:t>
        </w:r>
      </w:hyperlink>
    </w:p>
    <w:p w:rsidR="0031374C" w:rsidRDefault="0031374C" w:rsidP="0031374C">
      <w:pPr>
        <w:pStyle w:val="NoSpacing"/>
      </w:pPr>
      <w:r>
        <w:t>About the Author</w:t>
      </w:r>
    </w:p>
    <w:p w:rsidR="0031374C" w:rsidRDefault="0031374C" w:rsidP="0031374C">
      <w:pPr>
        <w:pStyle w:val="NoSpacing"/>
        <w:rPr>
          <w:noProof/>
        </w:rPr>
      </w:pPr>
      <w:r>
        <w:rPr>
          <w:noProof/>
        </w:rPr>
        <w:drawing>
          <wp:inline distT="0" distB="0" distL="0" distR="0">
            <wp:extent cx="814507" cy="1075230"/>
            <wp:effectExtent l="19050" t="0" r="4643" b="0"/>
            <wp:docPr id="1" name="Picture 42" descr="F:\15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F:\15 (1)~2.png"/>
                    <pic:cNvPicPr>
                      <a:picLocks noChangeAspect="1" noChangeArrowheads="1"/>
                    </pic:cNvPicPr>
                  </pic:nvPicPr>
                  <pic:blipFill>
                    <a:blip r:embed="rId8" cstate="print"/>
                    <a:srcRect/>
                    <a:stretch>
                      <a:fillRect/>
                    </a:stretch>
                  </pic:blipFill>
                  <pic:spPr bwMode="auto">
                    <a:xfrm>
                      <a:off x="0" y="0"/>
                      <a:ext cx="814525" cy="1075253"/>
                    </a:xfrm>
                    <a:prstGeom prst="rect">
                      <a:avLst/>
                    </a:prstGeom>
                    <a:noFill/>
                    <a:ln w="9525">
                      <a:noFill/>
                      <a:miter lim="800000"/>
                      <a:headEnd/>
                      <a:tailEnd/>
                    </a:ln>
                  </pic:spPr>
                </pic:pic>
              </a:graphicData>
            </a:graphic>
          </wp:inline>
        </w:drawing>
      </w:r>
      <w:r>
        <w:t xml:space="preserve">Dr. </w:t>
      </w:r>
      <w:proofErr w:type="spellStart"/>
      <w:r>
        <w:t>Aditya</w:t>
      </w:r>
      <w:proofErr w:type="spellEnd"/>
      <w:r>
        <w:t xml:space="preserve"> </w:t>
      </w:r>
      <w:proofErr w:type="spellStart"/>
      <w:r>
        <w:t>Peri</w:t>
      </w:r>
      <w:proofErr w:type="spellEnd"/>
      <w:r>
        <w:t xml:space="preserve"> </w:t>
      </w:r>
      <w:proofErr w:type="spellStart"/>
      <w:r>
        <w:t>Subramanya</w:t>
      </w:r>
      <w:proofErr w:type="spellEnd"/>
      <w:r>
        <w:t xml:space="preserve"> (</w:t>
      </w:r>
      <w:proofErr w:type="spellStart"/>
      <w:r>
        <w:t>Ed.D</w:t>
      </w:r>
      <w:proofErr w:type="spellEnd"/>
      <w:r>
        <w:t>) (</w:t>
      </w:r>
      <w:proofErr w:type="spellStart"/>
      <w:r>
        <w:t>h.c</w:t>
      </w:r>
      <w:proofErr w:type="spellEnd"/>
      <w:r>
        <w:t xml:space="preserve">) is an award-winning </w:t>
      </w:r>
      <w:proofErr w:type="spellStart"/>
      <w:r>
        <w:t>educator</w:t>
      </w:r>
      <w:proofErr w:type="gramStart"/>
      <w:r>
        <w:t>,author</w:t>
      </w:r>
      <w:proofErr w:type="spellEnd"/>
      <w:proofErr w:type="gramEnd"/>
      <w:r>
        <w:t>, and motivational speaker from Kakinada, Andhra Pradesh.</w:t>
      </w:r>
    </w:p>
    <w:p w:rsidR="0031374C" w:rsidRDefault="0031374C" w:rsidP="0031374C">
      <w:pPr>
        <w:pStyle w:val="NoSpacing"/>
      </w:pPr>
      <w:r>
        <w:t>The letters “</w:t>
      </w:r>
      <w:proofErr w:type="spellStart"/>
      <w:r>
        <w:t>Ed.D</w:t>
      </w:r>
      <w:proofErr w:type="spellEnd"/>
      <w:r>
        <w:t>” denote a Doctor of Education, and “(</w:t>
      </w:r>
      <w:proofErr w:type="spellStart"/>
      <w:r>
        <w:t>h.c</w:t>
      </w:r>
      <w:proofErr w:type="spellEnd"/>
      <w:r>
        <w:t xml:space="preserve">)” signifies </w:t>
      </w:r>
      <w:proofErr w:type="gramStart"/>
      <w:r>
        <w:t>an</w:t>
      </w:r>
      <w:proofErr w:type="gramEnd"/>
      <w:r>
        <w:t xml:space="preserve"> </w:t>
      </w:r>
      <w:proofErr w:type="spellStart"/>
      <w:r>
        <w:t>honoris</w:t>
      </w:r>
      <w:proofErr w:type="spellEnd"/>
      <w:r>
        <w:t xml:space="preserve"> </w:t>
      </w:r>
      <w:proofErr w:type="spellStart"/>
      <w:r>
        <w:t>causa</w:t>
      </w:r>
      <w:proofErr w:type="spellEnd"/>
      <w:r>
        <w:t>, or honorary degree.</w:t>
      </w:r>
    </w:p>
    <w:p w:rsidR="0031374C" w:rsidRDefault="0031374C" w:rsidP="0031374C">
      <w:pPr>
        <w:pStyle w:val="NoSpacing"/>
      </w:pPr>
    </w:p>
    <w:p w:rsidR="0031374C" w:rsidRDefault="0031374C" w:rsidP="0031374C">
      <w:pPr>
        <w:pStyle w:val="NoSpacing"/>
      </w:pPr>
      <w:r>
        <w:t>Professional Life</w:t>
      </w:r>
    </w:p>
    <w:p w:rsidR="0031374C" w:rsidRDefault="0031374C" w:rsidP="0031374C">
      <w:pPr>
        <w:pStyle w:val="NoSpacing"/>
      </w:pPr>
    </w:p>
    <w:p w:rsidR="0031374C" w:rsidRDefault="0031374C" w:rsidP="0031374C">
      <w:pPr>
        <w:pStyle w:val="NoSpacing"/>
      </w:pPr>
      <w:r>
        <w:t xml:space="preserve">Educator: Over 25 years of teaching experience, primarily in Social Studies at the high school level; associated with the </w:t>
      </w:r>
      <w:proofErr w:type="spellStart"/>
      <w:r>
        <w:t>Aditya</w:t>
      </w:r>
      <w:proofErr w:type="spellEnd"/>
      <w:r>
        <w:t xml:space="preserve"> Group of Educational Institutions.</w:t>
      </w:r>
    </w:p>
    <w:p w:rsidR="0031374C" w:rsidRDefault="0031374C" w:rsidP="0031374C">
      <w:pPr>
        <w:pStyle w:val="NoSpacing"/>
      </w:pPr>
    </w:p>
    <w:p w:rsidR="0031374C" w:rsidRDefault="0031374C" w:rsidP="0031374C">
      <w:pPr>
        <w:pStyle w:val="NoSpacing"/>
      </w:pPr>
      <w:r>
        <w:t>Mentor &amp; Motivational Speaker: Guides and mentors students to foster a love for learning, purpose, and values; often weaves motivational insights and poetic wisdom into his sessions.</w:t>
      </w:r>
    </w:p>
    <w:p w:rsidR="0031374C" w:rsidRDefault="0031374C" w:rsidP="0031374C">
      <w:pPr>
        <w:pStyle w:val="NoSpacing"/>
      </w:pPr>
    </w:p>
    <w:p w:rsidR="0031374C" w:rsidRDefault="0031374C" w:rsidP="0031374C">
      <w:pPr>
        <w:pStyle w:val="NoSpacing"/>
      </w:pPr>
      <w:r>
        <w:t>Author: Has written several books for student motivation and academic success, including:</w:t>
      </w:r>
    </w:p>
    <w:p w:rsidR="0031374C" w:rsidRDefault="0031374C" w:rsidP="0031374C">
      <w:pPr>
        <w:pStyle w:val="NoSpacing"/>
      </w:pPr>
      <w:r>
        <w:t xml:space="preserve">• Motivational Garland to My Student — </w:t>
      </w:r>
      <w:proofErr w:type="gramStart"/>
      <w:r>
        <w:t>A</w:t>
      </w:r>
      <w:proofErr w:type="gramEnd"/>
      <w:r>
        <w:t xml:space="preserve"> collection of rhythmic life lessons for students.</w:t>
      </w:r>
    </w:p>
    <w:p w:rsidR="0031374C" w:rsidRDefault="0031374C" w:rsidP="0031374C">
      <w:pPr>
        <w:pStyle w:val="NoSpacing"/>
      </w:pPr>
      <w:r>
        <w:t xml:space="preserve">• </w:t>
      </w:r>
      <w:proofErr w:type="spellStart"/>
      <w:r>
        <w:t>EduTalks</w:t>
      </w:r>
      <w:proofErr w:type="spellEnd"/>
      <w:r>
        <w:t xml:space="preserve"> – A Smart Way to Learn Social Studies — </w:t>
      </w:r>
      <w:proofErr w:type="gramStart"/>
      <w:r>
        <w:t>Learning</w:t>
      </w:r>
      <w:proofErr w:type="gramEnd"/>
      <w:r>
        <w:t xml:space="preserve"> through mind maps, quick facts, and real-life examples.</w:t>
      </w:r>
    </w:p>
    <w:p w:rsidR="0031374C" w:rsidRDefault="0031374C" w:rsidP="0031374C">
      <w:pPr>
        <w:pStyle w:val="NoSpacing"/>
      </w:pPr>
      <w:r>
        <w:t>• The Student’s Torch – Lighting the Way to Success — A guide to goal-setting, discipline, and effective learning techniques.</w:t>
      </w:r>
    </w:p>
    <w:p w:rsidR="0031374C" w:rsidRDefault="0031374C" w:rsidP="0031374C">
      <w:pPr>
        <w:pStyle w:val="NoSpacing"/>
      </w:pPr>
      <w:r>
        <w:t xml:space="preserve">• Scholarly Sparks — </w:t>
      </w:r>
      <w:proofErr w:type="gramStart"/>
      <w:r>
        <w:t>A</w:t>
      </w:r>
      <w:proofErr w:type="gramEnd"/>
      <w:r>
        <w:t xml:space="preserve"> comprehensive guide to history, geography, and economics for high-school students and competitive exam aspirants.</w:t>
      </w:r>
    </w:p>
    <w:p w:rsidR="0031374C" w:rsidRDefault="0031374C" w:rsidP="0031374C">
      <w:pPr>
        <w:pStyle w:val="NoSpacing"/>
      </w:pPr>
      <w:r>
        <w:t xml:space="preserve">• The Chalk That Never Fades — </w:t>
      </w:r>
      <w:proofErr w:type="gramStart"/>
      <w:r>
        <w:t>An</w:t>
      </w:r>
      <w:proofErr w:type="gramEnd"/>
      <w:r>
        <w:t xml:space="preserve"> eBook published in September 2025.</w:t>
      </w:r>
    </w:p>
    <w:p w:rsidR="0031374C" w:rsidRDefault="0031374C" w:rsidP="0031374C">
      <w:pPr>
        <w:pStyle w:val="NoSpacing"/>
      </w:pPr>
    </w:p>
    <w:p w:rsidR="0031374C" w:rsidRPr="00E0477B" w:rsidRDefault="0031374C" w:rsidP="0031374C">
      <w:pPr>
        <w:pStyle w:val="NoSpacing"/>
      </w:pPr>
      <w:r w:rsidRPr="00E0477B">
        <w:t>Awards and Recognition</w:t>
      </w:r>
    </w:p>
    <w:p w:rsidR="0031374C" w:rsidRPr="00E0477B" w:rsidRDefault="0031374C" w:rsidP="0031374C">
      <w:pPr>
        <w:pStyle w:val="NoSpacing"/>
      </w:pPr>
      <w:r w:rsidRPr="00E0477B">
        <w:lastRenderedPageBreak/>
        <w:t>International Teacher Icon Award (2024)</w:t>
      </w:r>
    </w:p>
    <w:p w:rsidR="0031374C" w:rsidRPr="00E0477B" w:rsidRDefault="0031374C" w:rsidP="0031374C">
      <w:pPr>
        <w:pStyle w:val="NoSpacing"/>
      </w:pPr>
      <w:r w:rsidRPr="00E0477B">
        <w:t>Global Icons of India Award</w:t>
      </w:r>
    </w:p>
    <w:p w:rsidR="0031374C" w:rsidRPr="00E0477B" w:rsidRDefault="0031374C" w:rsidP="0031374C">
      <w:pPr>
        <w:pStyle w:val="NoSpacing"/>
      </w:pPr>
      <w:r w:rsidRPr="00E0477B">
        <w:t>National Best Teaching Faculty Award</w:t>
      </w:r>
    </w:p>
    <w:p w:rsidR="0031374C" w:rsidRPr="00E0477B" w:rsidRDefault="0031374C" w:rsidP="0031374C">
      <w:pPr>
        <w:pStyle w:val="NoSpacing"/>
      </w:pPr>
      <w:r w:rsidRPr="00E0477B">
        <w:t>Best Teacher Award (Government of Andhra Pradesh)</w:t>
      </w:r>
    </w:p>
    <w:p w:rsidR="0031374C" w:rsidRPr="00E0477B" w:rsidRDefault="0031374C" w:rsidP="0031374C">
      <w:pPr>
        <w:pStyle w:val="NoSpacing"/>
      </w:pPr>
      <w:r w:rsidRPr="00E0477B">
        <w:t>Initiatives</w:t>
      </w:r>
    </w:p>
    <w:p w:rsidR="0031374C" w:rsidRPr="00E0477B" w:rsidRDefault="0031374C" w:rsidP="0031374C">
      <w:pPr>
        <w:pStyle w:val="NoSpacing"/>
      </w:pPr>
    </w:p>
    <w:p w:rsidR="0031374C" w:rsidRPr="00E0477B" w:rsidRDefault="0031374C" w:rsidP="0031374C">
      <w:pPr>
        <w:pStyle w:val="NoSpacing"/>
      </w:pPr>
      <w:proofErr w:type="spellStart"/>
      <w:proofErr w:type="gramStart"/>
      <w:r w:rsidRPr="00E0477B">
        <w:t>Prioritises</w:t>
      </w:r>
      <w:proofErr w:type="spellEnd"/>
      <w:r w:rsidRPr="00E0477B">
        <w:t xml:space="preserve"> inclusivity and accessibility for underserved learners.</w:t>
      </w:r>
      <w:proofErr w:type="gramEnd"/>
    </w:p>
    <w:p w:rsidR="0031374C" w:rsidRPr="00E0477B" w:rsidRDefault="0031374C" w:rsidP="0031374C">
      <w:pPr>
        <w:pStyle w:val="NoSpacing"/>
      </w:pPr>
      <w:r w:rsidRPr="00E0477B">
        <w:t xml:space="preserve">Provides mentorship </w:t>
      </w:r>
      <w:proofErr w:type="spellStart"/>
      <w:r w:rsidRPr="00E0477B">
        <w:t>programmes</w:t>
      </w:r>
      <w:proofErr w:type="spellEnd"/>
      <w:r w:rsidRPr="00E0477B">
        <w:t xml:space="preserve"> and resource </w:t>
      </w:r>
      <w:proofErr w:type="spellStart"/>
      <w:r w:rsidRPr="00E0477B">
        <w:t>centres</w:t>
      </w:r>
      <w:proofErr w:type="spellEnd"/>
      <w:r w:rsidRPr="00E0477B">
        <w:t>.</w:t>
      </w:r>
    </w:p>
    <w:p w:rsidR="0031374C" w:rsidRDefault="0031374C" w:rsidP="0031374C">
      <w:pPr>
        <w:pStyle w:val="NormalWeb"/>
      </w:pPr>
      <w:r w:rsidRPr="00E0477B">
        <w:t xml:space="preserve">Addresses educational disparities through collaboration with local </w:t>
      </w:r>
      <w:proofErr w:type="spellStart"/>
      <w:r w:rsidRPr="00E0477B">
        <w:t>organisations</w:t>
      </w:r>
      <w:proofErr w:type="spellEnd"/>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Abstract</w:t>
      </w:r>
    </w:p>
    <w:p w:rsidR="00E26BFE" w:rsidRDefault="00E26BFE">
      <w:pPr>
        <w:pStyle w:val="NormalWeb"/>
      </w:pPr>
      <w:r>
        <w:t xml:space="preserve">Education Management Systems (EMS) </w:t>
      </w:r>
      <w:proofErr w:type="gramStart"/>
      <w:r>
        <w:t>have</w:t>
      </w:r>
      <w:proofErr w:type="gramEnd"/>
      <w:r>
        <w:t xml:space="preserve"> revolutionized how schools function, communicate, and evolve in the 21st century. As educational institutions strive for quality, </w:t>
      </w:r>
      <w:proofErr w:type="gramStart"/>
      <w:r>
        <w:t>transparency</w:t>
      </w:r>
      <w:proofErr w:type="gramEnd"/>
      <w:r>
        <w:t>, and efficiency, the integration of technology into school management has become indispensable. This paper examines the significance of EMS in K–12 education, its impact on stakeholders, and its alignment with the National Education Policy (NEP 2020) and Sustainable Development Goal 4 (SDG 4 – Quality Education). Drawing upon contemporary studies, conceptual analysis, and hypothetical data, this paper emphasizes how EMS empowers teachers, enhances student learning, and enables data-driven decision-making. It also discusses challenges in implementation and proposes strategic recommendations for sustainable adoption. Ultimately, the study concludes that EMS serves as the digital backbone of modern learning — transforming education from administrative management to holistic growth.</w:t>
      </w:r>
    </w:p>
    <w:p w:rsidR="00E26BFE" w:rsidRDefault="00E26BFE">
      <w:pPr>
        <w:pStyle w:val="NormalWeb"/>
      </w:pPr>
      <w:r>
        <w:rPr>
          <w:rStyle w:val="Strong"/>
        </w:rPr>
        <w:t>Keywords:</w:t>
      </w:r>
      <w:r>
        <w:t xml:space="preserve"> Education Management Systems, Digital Learning, NEP 2020, School Leadership, ICT Integration, Educational Technology</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1. Introduction</w:t>
      </w:r>
    </w:p>
    <w:p w:rsidR="00E26BFE" w:rsidRDefault="00E26BFE">
      <w:pPr>
        <w:pStyle w:val="NormalWeb"/>
      </w:pPr>
      <w:r>
        <w:t xml:space="preserve">Education is not merely an institution; it is the foundation of human progress. In the rapidly evolving digital era, technology has become an inseparable part of the educational ecosystem. Schools now face the dual challenge of imparting quality education while maintaining administrative efficiency. </w:t>
      </w:r>
      <w:r>
        <w:rPr>
          <w:rStyle w:val="Strong"/>
        </w:rPr>
        <w:t>Education Management Systems (EMS)</w:t>
      </w:r>
      <w:r>
        <w:t xml:space="preserve"> </w:t>
      </w:r>
      <w:proofErr w:type="gramStart"/>
      <w:r>
        <w:t>bridge</w:t>
      </w:r>
      <w:proofErr w:type="gramEnd"/>
      <w:r>
        <w:t xml:space="preserve"> this gap by integrating all institutional functions into one cohesive digital framework (UNESCO, 2024).</w:t>
      </w:r>
    </w:p>
    <w:p w:rsidR="00E26BFE" w:rsidRDefault="00E26BFE">
      <w:pPr>
        <w:pStyle w:val="NormalWeb"/>
      </w:pPr>
      <w:r>
        <w:t xml:space="preserve">EMS refers to comprehensive, technology-driven platforms that automate academic and administrative processes such as student admissions, attendance, timetabling, performance monitoring, communication, and fee management (Kaur &amp; Sharma, 2023). The adoption of EMS is transforming conventional schooling into data-informed, learner-centric ecosystems. In India, initiatives under </w:t>
      </w:r>
      <w:r>
        <w:rPr>
          <w:rStyle w:val="Emphasis"/>
        </w:rPr>
        <w:t>Digital India</w:t>
      </w:r>
      <w:r>
        <w:t xml:space="preserve"> and </w:t>
      </w:r>
      <w:r>
        <w:rPr>
          <w:rStyle w:val="Emphasis"/>
        </w:rPr>
        <w:t>NEP 2020</w:t>
      </w:r>
      <w:r>
        <w:t xml:space="preserve"> have accelerated this transformation, emphasizing digital governance, inclusivity, and outcome-based learning.</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2. Objectives of the Study</w:t>
      </w:r>
    </w:p>
    <w:p w:rsidR="00E26BFE" w:rsidRDefault="00E26BFE" w:rsidP="00E26BFE">
      <w:pPr>
        <w:numPr>
          <w:ilvl w:val="0"/>
          <w:numId w:val="1"/>
        </w:numPr>
        <w:spacing w:before="100" w:beforeAutospacing="1" w:after="100" w:afterAutospacing="1" w:line="240" w:lineRule="auto"/>
        <w:rPr>
          <w:rFonts w:eastAsia="Times New Roman"/>
        </w:rPr>
      </w:pPr>
      <w:r>
        <w:rPr>
          <w:rFonts w:eastAsia="Times New Roman"/>
        </w:rPr>
        <w:t>To explore the role and impact of Education Management Systems in school education.</w:t>
      </w:r>
    </w:p>
    <w:p w:rsidR="00E26BFE" w:rsidRDefault="00E26BFE" w:rsidP="00E26BFE">
      <w:pPr>
        <w:numPr>
          <w:ilvl w:val="0"/>
          <w:numId w:val="1"/>
        </w:numPr>
        <w:spacing w:before="100" w:beforeAutospacing="1" w:after="100" w:afterAutospacing="1" w:line="240" w:lineRule="auto"/>
        <w:rPr>
          <w:rFonts w:eastAsia="Times New Roman"/>
        </w:rPr>
      </w:pPr>
      <w:r>
        <w:rPr>
          <w:rFonts w:eastAsia="Times New Roman"/>
        </w:rPr>
        <w:t>To analyze how EMS enhances efficiency, transparency, and learning quality.</w:t>
      </w:r>
    </w:p>
    <w:p w:rsidR="00E26BFE" w:rsidRDefault="00E26BFE" w:rsidP="00E26BFE">
      <w:pPr>
        <w:numPr>
          <w:ilvl w:val="0"/>
          <w:numId w:val="1"/>
        </w:numPr>
        <w:spacing w:before="100" w:beforeAutospacing="1" w:after="100" w:afterAutospacing="1" w:line="240" w:lineRule="auto"/>
        <w:rPr>
          <w:rFonts w:eastAsia="Times New Roman"/>
        </w:rPr>
      </w:pPr>
      <w:r>
        <w:rPr>
          <w:rFonts w:eastAsia="Times New Roman"/>
        </w:rPr>
        <w:t>To identify barriers to EMS implementation in K–12 schools.</w:t>
      </w:r>
    </w:p>
    <w:p w:rsidR="00E26BFE" w:rsidRDefault="00E26BFE" w:rsidP="00E26BFE">
      <w:pPr>
        <w:numPr>
          <w:ilvl w:val="0"/>
          <w:numId w:val="1"/>
        </w:numPr>
        <w:spacing w:before="100" w:beforeAutospacing="1" w:after="100" w:afterAutospacing="1" w:line="240" w:lineRule="auto"/>
        <w:rPr>
          <w:rFonts w:eastAsia="Times New Roman"/>
        </w:rPr>
      </w:pPr>
      <w:r>
        <w:rPr>
          <w:rFonts w:eastAsia="Times New Roman"/>
        </w:rPr>
        <w:t>To propose sustainable models for effective adoption aligned with NEP 2020.</w:t>
      </w:r>
    </w:p>
    <w:p w:rsidR="00E26BFE" w:rsidRDefault="00E26BFE">
      <w:pPr>
        <w:spacing w:after="0"/>
        <w:rPr>
          <w:rFonts w:eastAsia="Times New Roman"/>
        </w:rPr>
      </w:pPr>
    </w:p>
    <w:p w:rsidR="00E26BFE" w:rsidRDefault="00E26BFE">
      <w:pPr>
        <w:pStyle w:val="Heading3"/>
        <w:rPr>
          <w:rFonts w:eastAsia="Times New Roman"/>
        </w:rPr>
      </w:pPr>
      <w:r>
        <w:rPr>
          <w:rStyle w:val="Strong"/>
          <w:rFonts w:eastAsia="Times New Roman"/>
          <w:b w:val="0"/>
          <w:bCs w:val="0"/>
        </w:rPr>
        <w:t>3. Literature Review</w:t>
      </w:r>
    </w:p>
    <w:p w:rsidR="00E26BFE" w:rsidRDefault="00E26BFE">
      <w:pPr>
        <w:pStyle w:val="NormalWeb"/>
      </w:pPr>
      <w:r>
        <w:t xml:space="preserve">Recent studies affirm that EMS has become central to modern educational management. </w:t>
      </w:r>
      <w:r>
        <w:rPr>
          <w:rStyle w:val="Strong"/>
        </w:rPr>
        <w:t>Kumar &amp; George (2022)</w:t>
      </w:r>
      <w:r>
        <w:t xml:space="preserve"> found that EMS improves institutional coordination and reduces human error. </w:t>
      </w:r>
      <w:r>
        <w:rPr>
          <w:rStyle w:val="Strong"/>
        </w:rPr>
        <w:t>Pandey &amp; Singh (2023)</w:t>
      </w:r>
      <w:r>
        <w:t xml:space="preserve"> observed that schools using EMS experience up to 35% improvement in record accuracy and faster communication.</w:t>
      </w:r>
    </w:p>
    <w:p w:rsidR="00E26BFE" w:rsidRDefault="00E26BFE">
      <w:pPr>
        <w:pStyle w:val="NormalWeb"/>
      </w:pPr>
      <w:r>
        <w:rPr>
          <w:rStyle w:val="Strong"/>
        </w:rPr>
        <w:t>UNESCO’s Global Education Report (2024)</w:t>
      </w:r>
      <w:r>
        <w:t xml:space="preserve"> highlights that digital management platforms have led to increased accountability and transparency in school governance, especially in developing nations. Similarly, </w:t>
      </w:r>
      <w:r>
        <w:rPr>
          <w:rStyle w:val="Strong"/>
        </w:rPr>
        <w:t>OECD (2023)</w:t>
      </w:r>
      <w:r>
        <w:t xml:space="preserve"> notes that countries integrating EMS demonstrate better learning analytics and parent engagement.</w:t>
      </w:r>
    </w:p>
    <w:p w:rsidR="00E26BFE" w:rsidRDefault="00E26BFE">
      <w:pPr>
        <w:pStyle w:val="NormalWeb"/>
      </w:pPr>
      <w:proofErr w:type="spellStart"/>
      <w:r>
        <w:rPr>
          <w:rStyle w:val="Strong"/>
        </w:rPr>
        <w:t>Nayak</w:t>
      </w:r>
      <w:proofErr w:type="spellEnd"/>
      <w:r>
        <w:rPr>
          <w:rStyle w:val="Strong"/>
        </w:rPr>
        <w:t>&amp; Bose (2024)</w:t>
      </w:r>
      <w:r>
        <w:t xml:space="preserve"> emphasize that EMS not only improves data handling but also influences pedagogical practices, enabling teachers to track and tailor instruction. </w:t>
      </w:r>
      <w:r>
        <w:rPr>
          <w:rStyle w:val="Strong"/>
        </w:rPr>
        <w:t>Mishra (2022)</w:t>
      </w:r>
      <w:r>
        <w:t xml:space="preserve"> points out </w:t>
      </w:r>
      <w:proofErr w:type="gramStart"/>
      <w:r>
        <w:t>that rural schools</w:t>
      </w:r>
      <w:proofErr w:type="gramEnd"/>
      <w:r>
        <w:t xml:space="preserve"> face challenges due to limited infrastructure and digital literacy.</w:t>
      </w:r>
    </w:p>
    <w:p w:rsidR="00E26BFE" w:rsidRDefault="00E26BFE">
      <w:pPr>
        <w:pStyle w:val="NormalWeb"/>
      </w:pPr>
      <w:r>
        <w:t xml:space="preserve">The literature thus identifies EMS as </w:t>
      </w:r>
      <w:proofErr w:type="gramStart"/>
      <w:r>
        <w:t>both a</w:t>
      </w:r>
      <w:proofErr w:type="gramEnd"/>
      <w:r>
        <w:t xml:space="preserve"> technological and pedagogical catalyst, fostering innovation, inclusivity, and efficiency in education.</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4. Methodology</w:t>
      </w:r>
    </w:p>
    <w:p w:rsidR="00E26BFE" w:rsidRDefault="00E26BFE">
      <w:pPr>
        <w:pStyle w:val="NormalWeb"/>
      </w:pPr>
      <w:r>
        <w:t xml:space="preserve">This paper adopts a </w:t>
      </w:r>
      <w:r>
        <w:rPr>
          <w:rStyle w:val="Strong"/>
        </w:rPr>
        <w:t>qualitative, conceptual, and comparative research design</w:t>
      </w:r>
      <w:r>
        <w:t>. Data are drawn from secondary sources such as reports by UNESCO, OECD, NCERT, and peer-reviewed journals between 2020 and 2025. The analysis is thematic, focusing on the conceptual role of EMS in improving institutional performance and aligning with policy frameworks such as NEP 2020 and SDG 4.</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5. Conceptual Framework: The EMS Ecosystem Model</w:t>
      </w:r>
    </w:p>
    <w:p w:rsidR="00E26BFE" w:rsidRDefault="00E26BFE">
      <w:pPr>
        <w:pStyle w:val="NormalWeb"/>
      </w:pPr>
      <w:r>
        <w:t xml:space="preserve">An </w:t>
      </w:r>
      <w:r>
        <w:rPr>
          <w:rStyle w:val="Strong"/>
        </w:rPr>
        <w:t>Education Management System Ecosystem</w:t>
      </w:r>
      <w:r>
        <w:t xml:space="preserve"> consists of four interconnected domains:</w:t>
      </w:r>
    </w:p>
    <w:p w:rsidR="00E26BFE" w:rsidRDefault="00E26BFE" w:rsidP="00E26BFE">
      <w:pPr>
        <w:numPr>
          <w:ilvl w:val="0"/>
          <w:numId w:val="2"/>
        </w:numPr>
        <w:spacing w:before="100" w:beforeAutospacing="1" w:after="100" w:afterAutospacing="1" w:line="240" w:lineRule="auto"/>
        <w:rPr>
          <w:rFonts w:eastAsia="Times New Roman"/>
        </w:rPr>
      </w:pPr>
      <w:r>
        <w:rPr>
          <w:rStyle w:val="Strong"/>
          <w:rFonts w:eastAsia="Times New Roman"/>
        </w:rPr>
        <w:lastRenderedPageBreak/>
        <w:t>Administrative Core</w:t>
      </w:r>
      <w:r>
        <w:rPr>
          <w:rFonts w:eastAsia="Times New Roman"/>
        </w:rPr>
        <w:t xml:space="preserve"> – admissions, attendance, payroll, finance, and infrastructure.</w:t>
      </w:r>
    </w:p>
    <w:p w:rsidR="00E26BFE" w:rsidRDefault="00E26BFE" w:rsidP="00E26BFE">
      <w:pPr>
        <w:numPr>
          <w:ilvl w:val="0"/>
          <w:numId w:val="2"/>
        </w:numPr>
        <w:spacing w:before="100" w:beforeAutospacing="1" w:after="100" w:afterAutospacing="1" w:line="240" w:lineRule="auto"/>
        <w:rPr>
          <w:rFonts w:eastAsia="Times New Roman"/>
        </w:rPr>
      </w:pPr>
      <w:r>
        <w:rPr>
          <w:rStyle w:val="Strong"/>
          <w:rFonts w:eastAsia="Times New Roman"/>
        </w:rPr>
        <w:t>Academic Core</w:t>
      </w:r>
      <w:r>
        <w:rPr>
          <w:rFonts w:eastAsia="Times New Roman"/>
        </w:rPr>
        <w:t xml:space="preserve"> – curriculum design, assessment, performance tracking, and analytics.</w:t>
      </w:r>
    </w:p>
    <w:p w:rsidR="00E26BFE" w:rsidRDefault="00E26BFE" w:rsidP="00E26BFE">
      <w:pPr>
        <w:numPr>
          <w:ilvl w:val="0"/>
          <w:numId w:val="2"/>
        </w:numPr>
        <w:spacing w:before="100" w:beforeAutospacing="1" w:after="100" w:afterAutospacing="1" w:line="240" w:lineRule="auto"/>
        <w:rPr>
          <w:rFonts w:eastAsia="Times New Roman"/>
        </w:rPr>
      </w:pPr>
      <w:r>
        <w:rPr>
          <w:rStyle w:val="Strong"/>
          <w:rFonts w:eastAsia="Times New Roman"/>
        </w:rPr>
        <w:t>Communication Core</w:t>
      </w:r>
      <w:r>
        <w:rPr>
          <w:rFonts w:eastAsia="Times New Roman"/>
        </w:rPr>
        <w:t xml:space="preserve"> – connecting parents, teachers, and students through portals or mobile apps.</w:t>
      </w:r>
    </w:p>
    <w:p w:rsidR="00E26BFE" w:rsidRDefault="00E26BFE" w:rsidP="00E26BFE">
      <w:pPr>
        <w:numPr>
          <w:ilvl w:val="0"/>
          <w:numId w:val="2"/>
        </w:numPr>
        <w:spacing w:before="100" w:beforeAutospacing="1" w:after="100" w:afterAutospacing="1" w:line="240" w:lineRule="auto"/>
        <w:rPr>
          <w:rFonts w:eastAsia="Times New Roman"/>
        </w:rPr>
      </w:pPr>
      <w:r>
        <w:rPr>
          <w:rStyle w:val="Strong"/>
          <w:rFonts w:eastAsia="Times New Roman"/>
        </w:rPr>
        <w:t>Strategic Core</w:t>
      </w:r>
      <w:r>
        <w:rPr>
          <w:rFonts w:eastAsia="Times New Roman"/>
        </w:rPr>
        <w:t xml:space="preserve"> – policy alignment, teacher development, and institutional improvement.</w:t>
      </w:r>
    </w:p>
    <w:p w:rsidR="00E26BFE" w:rsidRDefault="00E26BFE">
      <w:pPr>
        <w:pStyle w:val="NormalWeb"/>
      </w:pPr>
      <w:r>
        <w:t>All these domains interconnect through ICT to create a smart learning environment. The EMS ecosystem thus becomes a bridge between technology, management, and pedagogy.</w:t>
      </w:r>
    </w:p>
    <w:p w:rsidR="00E26BFE" w:rsidRDefault="00E26BFE">
      <w:pPr>
        <w:pStyle w:val="NormalWeb"/>
      </w:pPr>
      <w:r>
        <w:rPr>
          <w:rStyle w:val="Emphasis"/>
        </w:rPr>
        <w:t>(In formatted version, this section will include a visual diagram of the EMS ecosystem.)</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6. Hypothetical Data Analysis: Impact of EMS on School Efficiency</w:t>
      </w:r>
    </w:p>
    <w:tbl>
      <w:tblPr>
        <w:tblW w:w="0" w:type="auto"/>
        <w:tblCellSpacing w:w="15" w:type="dxa"/>
        <w:tblCellMar>
          <w:top w:w="15" w:type="dxa"/>
          <w:left w:w="15" w:type="dxa"/>
          <w:bottom w:w="15" w:type="dxa"/>
          <w:right w:w="15" w:type="dxa"/>
        </w:tblCellMar>
        <w:tblLook w:val="04A0"/>
      </w:tblPr>
      <w:tblGrid>
        <w:gridCol w:w="3170"/>
        <w:gridCol w:w="1847"/>
        <w:gridCol w:w="1647"/>
        <w:gridCol w:w="1583"/>
      </w:tblGrid>
      <w:tr w:rsidR="00E26BFE">
        <w:trPr>
          <w:tblHeader/>
          <w:tblCellSpacing w:w="15" w:type="dxa"/>
        </w:trPr>
        <w:tc>
          <w:tcPr>
            <w:tcW w:w="0" w:type="auto"/>
            <w:vAlign w:val="center"/>
            <w:hideMark/>
          </w:tcPr>
          <w:p w:rsidR="00E26BFE" w:rsidRDefault="00E26BFE">
            <w:pPr>
              <w:jc w:val="center"/>
              <w:rPr>
                <w:rFonts w:eastAsia="Times New Roman"/>
                <w:b/>
                <w:bCs/>
              </w:rPr>
            </w:pPr>
            <w:r>
              <w:rPr>
                <w:rStyle w:val="Strong"/>
                <w:rFonts w:eastAsia="Times New Roman"/>
              </w:rPr>
              <w:t>Indicator</w:t>
            </w:r>
          </w:p>
        </w:tc>
        <w:tc>
          <w:tcPr>
            <w:tcW w:w="0" w:type="auto"/>
            <w:vAlign w:val="center"/>
            <w:hideMark/>
          </w:tcPr>
          <w:p w:rsidR="00E26BFE" w:rsidRDefault="00E26BFE">
            <w:pPr>
              <w:jc w:val="center"/>
              <w:rPr>
                <w:rFonts w:eastAsia="Times New Roman"/>
                <w:b/>
                <w:bCs/>
              </w:rPr>
            </w:pPr>
            <w:r>
              <w:rPr>
                <w:rStyle w:val="Strong"/>
                <w:rFonts w:eastAsia="Times New Roman"/>
              </w:rPr>
              <w:t>Before EMS (%)</w:t>
            </w:r>
          </w:p>
        </w:tc>
        <w:tc>
          <w:tcPr>
            <w:tcW w:w="0" w:type="auto"/>
            <w:vAlign w:val="center"/>
            <w:hideMark/>
          </w:tcPr>
          <w:p w:rsidR="00E26BFE" w:rsidRDefault="00E26BFE">
            <w:pPr>
              <w:jc w:val="center"/>
              <w:rPr>
                <w:rFonts w:eastAsia="Times New Roman"/>
                <w:b/>
                <w:bCs/>
              </w:rPr>
            </w:pPr>
            <w:r>
              <w:rPr>
                <w:rStyle w:val="Strong"/>
                <w:rFonts w:eastAsia="Times New Roman"/>
              </w:rPr>
              <w:t>After EMS (%)</w:t>
            </w:r>
          </w:p>
        </w:tc>
        <w:tc>
          <w:tcPr>
            <w:tcW w:w="0" w:type="auto"/>
            <w:vAlign w:val="center"/>
            <w:hideMark/>
          </w:tcPr>
          <w:p w:rsidR="00E26BFE" w:rsidRDefault="00E26BFE">
            <w:pPr>
              <w:jc w:val="center"/>
              <w:rPr>
                <w:rFonts w:eastAsia="Times New Roman"/>
                <w:b/>
                <w:bCs/>
              </w:rPr>
            </w:pPr>
            <w:r>
              <w:rPr>
                <w:rStyle w:val="Strong"/>
                <w:rFonts w:eastAsia="Times New Roman"/>
              </w:rPr>
              <w:t>Improvement</w:t>
            </w:r>
          </w:p>
        </w:tc>
      </w:tr>
      <w:tr w:rsidR="00E26BFE">
        <w:trPr>
          <w:tblCellSpacing w:w="15" w:type="dxa"/>
        </w:trPr>
        <w:tc>
          <w:tcPr>
            <w:tcW w:w="0" w:type="auto"/>
            <w:vAlign w:val="center"/>
            <w:hideMark/>
          </w:tcPr>
          <w:p w:rsidR="00E26BFE" w:rsidRDefault="00E26BFE">
            <w:pPr>
              <w:rPr>
                <w:rFonts w:eastAsia="Times New Roman"/>
              </w:rPr>
            </w:pPr>
            <w:r>
              <w:rPr>
                <w:rFonts w:eastAsia="Times New Roman"/>
              </w:rPr>
              <w:t>Administrative accuracy</w:t>
            </w:r>
          </w:p>
        </w:tc>
        <w:tc>
          <w:tcPr>
            <w:tcW w:w="0" w:type="auto"/>
            <w:vAlign w:val="center"/>
            <w:hideMark/>
          </w:tcPr>
          <w:p w:rsidR="00E26BFE" w:rsidRDefault="00E26BFE">
            <w:pPr>
              <w:rPr>
                <w:rFonts w:eastAsia="Times New Roman"/>
              </w:rPr>
            </w:pPr>
            <w:r>
              <w:rPr>
                <w:rFonts w:eastAsia="Times New Roman"/>
              </w:rPr>
              <w:t>65</w:t>
            </w:r>
          </w:p>
        </w:tc>
        <w:tc>
          <w:tcPr>
            <w:tcW w:w="0" w:type="auto"/>
            <w:vAlign w:val="center"/>
            <w:hideMark/>
          </w:tcPr>
          <w:p w:rsidR="00E26BFE" w:rsidRDefault="00E26BFE">
            <w:pPr>
              <w:rPr>
                <w:rFonts w:eastAsia="Times New Roman"/>
              </w:rPr>
            </w:pPr>
            <w:r>
              <w:rPr>
                <w:rFonts w:eastAsia="Times New Roman"/>
              </w:rPr>
              <w:t>92</w:t>
            </w:r>
          </w:p>
        </w:tc>
        <w:tc>
          <w:tcPr>
            <w:tcW w:w="0" w:type="auto"/>
            <w:vAlign w:val="center"/>
            <w:hideMark/>
          </w:tcPr>
          <w:p w:rsidR="00E26BFE" w:rsidRDefault="00E26BFE">
            <w:pPr>
              <w:rPr>
                <w:rFonts w:eastAsia="Times New Roman"/>
              </w:rPr>
            </w:pPr>
            <w:r>
              <w:rPr>
                <w:rFonts w:eastAsia="Times New Roman"/>
              </w:rPr>
              <w:t>+27</w:t>
            </w:r>
          </w:p>
        </w:tc>
      </w:tr>
      <w:tr w:rsidR="00E26BFE">
        <w:trPr>
          <w:tblCellSpacing w:w="15" w:type="dxa"/>
        </w:trPr>
        <w:tc>
          <w:tcPr>
            <w:tcW w:w="0" w:type="auto"/>
            <w:vAlign w:val="center"/>
            <w:hideMark/>
          </w:tcPr>
          <w:p w:rsidR="00E26BFE" w:rsidRDefault="00E26BFE">
            <w:pPr>
              <w:rPr>
                <w:rFonts w:eastAsia="Times New Roman"/>
              </w:rPr>
            </w:pPr>
            <w:r>
              <w:rPr>
                <w:rFonts w:eastAsia="Times New Roman"/>
              </w:rPr>
              <w:t>Parent communication</w:t>
            </w:r>
          </w:p>
        </w:tc>
        <w:tc>
          <w:tcPr>
            <w:tcW w:w="0" w:type="auto"/>
            <w:vAlign w:val="center"/>
            <w:hideMark/>
          </w:tcPr>
          <w:p w:rsidR="00E26BFE" w:rsidRDefault="00E26BFE">
            <w:pPr>
              <w:rPr>
                <w:rFonts w:eastAsia="Times New Roman"/>
              </w:rPr>
            </w:pPr>
            <w:r>
              <w:rPr>
                <w:rFonts w:eastAsia="Times New Roman"/>
              </w:rPr>
              <w:t>48</w:t>
            </w:r>
          </w:p>
        </w:tc>
        <w:tc>
          <w:tcPr>
            <w:tcW w:w="0" w:type="auto"/>
            <w:vAlign w:val="center"/>
            <w:hideMark/>
          </w:tcPr>
          <w:p w:rsidR="00E26BFE" w:rsidRDefault="00E26BFE">
            <w:pPr>
              <w:rPr>
                <w:rFonts w:eastAsia="Times New Roman"/>
              </w:rPr>
            </w:pPr>
            <w:r>
              <w:rPr>
                <w:rFonts w:eastAsia="Times New Roman"/>
              </w:rPr>
              <w:t>88</w:t>
            </w:r>
          </w:p>
        </w:tc>
        <w:tc>
          <w:tcPr>
            <w:tcW w:w="0" w:type="auto"/>
            <w:vAlign w:val="center"/>
            <w:hideMark/>
          </w:tcPr>
          <w:p w:rsidR="00E26BFE" w:rsidRDefault="00E26BFE">
            <w:pPr>
              <w:rPr>
                <w:rFonts w:eastAsia="Times New Roman"/>
              </w:rPr>
            </w:pPr>
            <w:r>
              <w:rPr>
                <w:rFonts w:eastAsia="Times New Roman"/>
              </w:rPr>
              <w:t>+40</w:t>
            </w:r>
          </w:p>
        </w:tc>
      </w:tr>
      <w:tr w:rsidR="00E26BFE">
        <w:trPr>
          <w:tblCellSpacing w:w="15" w:type="dxa"/>
        </w:trPr>
        <w:tc>
          <w:tcPr>
            <w:tcW w:w="0" w:type="auto"/>
            <w:vAlign w:val="center"/>
            <w:hideMark/>
          </w:tcPr>
          <w:p w:rsidR="00E26BFE" w:rsidRDefault="00E26BFE">
            <w:pPr>
              <w:rPr>
                <w:rFonts w:eastAsia="Times New Roman"/>
              </w:rPr>
            </w:pPr>
            <w:r>
              <w:rPr>
                <w:rFonts w:eastAsia="Times New Roman"/>
              </w:rPr>
              <w:t>Student attendance tracking</w:t>
            </w:r>
          </w:p>
        </w:tc>
        <w:tc>
          <w:tcPr>
            <w:tcW w:w="0" w:type="auto"/>
            <w:vAlign w:val="center"/>
            <w:hideMark/>
          </w:tcPr>
          <w:p w:rsidR="00E26BFE" w:rsidRDefault="00E26BFE">
            <w:pPr>
              <w:rPr>
                <w:rFonts w:eastAsia="Times New Roman"/>
              </w:rPr>
            </w:pPr>
            <w:r>
              <w:rPr>
                <w:rFonts w:eastAsia="Times New Roman"/>
              </w:rPr>
              <w:t>60</w:t>
            </w:r>
          </w:p>
        </w:tc>
        <w:tc>
          <w:tcPr>
            <w:tcW w:w="0" w:type="auto"/>
            <w:vAlign w:val="center"/>
            <w:hideMark/>
          </w:tcPr>
          <w:p w:rsidR="00E26BFE" w:rsidRDefault="00E26BFE">
            <w:pPr>
              <w:rPr>
                <w:rFonts w:eastAsia="Times New Roman"/>
              </w:rPr>
            </w:pPr>
            <w:r>
              <w:rPr>
                <w:rFonts w:eastAsia="Times New Roman"/>
              </w:rPr>
              <w:t>90</w:t>
            </w:r>
          </w:p>
        </w:tc>
        <w:tc>
          <w:tcPr>
            <w:tcW w:w="0" w:type="auto"/>
            <w:vAlign w:val="center"/>
            <w:hideMark/>
          </w:tcPr>
          <w:p w:rsidR="00E26BFE" w:rsidRDefault="00E26BFE">
            <w:pPr>
              <w:rPr>
                <w:rFonts w:eastAsia="Times New Roman"/>
              </w:rPr>
            </w:pPr>
            <w:r>
              <w:rPr>
                <w:rFonts w:eastAsia="Times New Roman"/>
              </w:rPr>
              <w:t>+30</w:t>
            </w:r>
          </w:p>
        </w:tc>
      </w:tr>
      <w:tr w:rsidR="00E26BFE">
        <w:trPr>
          <w:tblCellSpacing w:w="15" w:type="dxa"/>
        </w:trPr>
        <w:tc>
          <w:tcPr>
            <w:tcW w:w="0" w:type="auto"/>
            <w:vAlign w:val="center"/>
            <w:hideMark/>
          </w:tcPr>
          <w:p w:rsidR="00E26BFE" w:rsidRDefault="00E26BFE">
            <w:pPr>
              <w:rPr>
                <w:rFonts w:eastAsia="Times New Roman"/>
              </w:rPr>
            </w:pPr>
            <w:r>
              <w:rPr>
                <w:rFonts w:eastAsia="Times New Roman"/>
              </w:rPr>
              <w:t>Teacher workload (reduction)</w:t>
            </w:r>
          </w:p>
        </w:tc>
        <w:tc>
          <w:tcPr>
            <w:tcW w:w="0" w:type="auto"/>
            <w:vAlign w:val="center"/>
            <w:hideMark/>
          </w:tcPr>
          <w:p w:rsidR="00E26BFE" w:rsidRDefault="00E26BFE">
            <w:pPr>
              <w:rPr>
                <w:rFonts w:eastAsia="Times New Roman"/>
              </w:rPr>
            </w:pPr>
            <w:r>
              <w:rPr>
                <w:rFonts w:eastAsia="Times New Roman"/>
              </w:rPr>
              <w:t>0</w:t>
            </w:r>
          </w:p>
        </w:tc>
        <w:tc>
          <w:tcPr>
            <w:tcW w:w="0" w:type="auto"/>
            <w:vAlign w:val="center"/>
            <w:hideMark/>
          </w:tcPr>
          <w:p w:rsidR="00E26BFE" w:rsidRDefault="00E26BFE">
            <w:pPr>
              <w:rPr>
                <w:rFonts w:eastAsia="Times New Roman"/>
              </w:rPr>
            </w:pPr>
            <w:r>
              <w:rPr>
                <w:rFonts w:eastAsia="Times New Roman"/>
              </w:rPr>
              <w:t>25</w:t>
            </w:r>
          </w:p>
        </w:tc>
        <w:tc>
          <w:tcPr>
            <w:tcW w:w="0" w:type="auto"/>
            <w:vAlign w:val="center"/>
            <w:hideMark/>
          </w:tcPr>
          <w:p w:rsidR="00E26BFE" w:rsidRDefault="00E26BFE">
            <w:pPr>
              <w:rPr>
                <w:rFonts w:eastAsia="Times New Roman"/>
              </w:rPr>
            </w:pPr>
            <w:r>
              <w:rPr>
                <w:rFonts w:eastAsia="Times New Roman"/>
              </w:rPr>
              <w:t>-25</w:t>
            </w:r>
          </w:p>
        </w:tc>
      </w:tr>
      <w:tr w:rsidR="00E26BFE">
        <w:trPr>
          <w:tblCellSpacing w:w="15" w:type="dxa"/>
        </w:trPr>
        <w:tc>
          <w:tcPr>
            <w:tcW w:w="0" w:type="auto"/>
            <w:vAlign w:val="center"/>
            <w:hideMark/>
          </w:tcPr>
          <w:p w:rsidR="00E26BFE" w:rsidRDefault="00E26BFE">
            <w:pPr>
              <w:rPr>
                <w:rFonts w:eastAsia="Times New Roman"/>
              </w:rPr>
            </w:pPr>
            <w:r>
              <w:rPr>
                <w:rFonts w:eastAsia="Times New Roman"/>
              </w:rPr>
              <w:t>Data-based decisions</w:t>
            </w:r>
          </w:p>
        </w:tc>
        <w:tc>
          <w:tcPr>
            <w:tcW w:w="0" w:type="auto"/>
            <w:vAlign w:val="center"/>
            <w:hideMark/>
          </w:tcPr>
          <w:p w:rsidR="00E26BFE" w:rsidRDefault="00E26BFE">
            <w:pPr>
              <w:rPr>
                <w:rFonts w:eastAsia="Times New Roman"/>
              </w:rPr>
            </w:pPr>
            <w:r>
              <w:rPr>
                <w:rFonts w:eastAsia="Times New Roman"/>
              </w:rPr>
              <w:t>20</w:t>
            </w:r>
          </w:p>
        </w:tc>
        <w:tc>
          <w:tcPr>
            <w:tcW w:w="0" w:type="auto"/>
            <w:vAlign w:val="center"/>
            <w:hideMark/>
          </w:tcPr>
          <w:p w:rsidR="00E26BFE" w:rsidRDefault="00E26BFE">
            <w:pPr>
              <w:rPr>
                <w:rFonts w:eastAsia="Times New Roman"/>
              </w:rPr>
            </w:pPr>
            <w:r>
              <w:rPr>
                <w:rFonts w:eastAsia="Times New Roman"/>
              </w:rPr>
              <w:t>85</w:t>
            </w:r>
          </w:p>
        </w:tc>
        <w:tc>
          <w:tcPr>
            <w:tcW w:w="0" w:type="auto"/>
            <w:vAlign w:val="center"/>
            <w:hideMark/>
          </w:tcPr>
          <w:p w:rsidR="00E26BFE" w:rsidRDefault="00E26BFE">
            <w:pPr>
              <w:rPr>
                <w:rFonts w:eastAsia="Times New Roman"/>
              </w:rPr>
            </w:pPr>
            <w:r>
              <w:rPr>
                <w:rFonts w:eastAsia="Times New Roman"/>
              </w:rPr>
              <w:t>+65</w:t>
            </w:r>
          </w:p>
        </w:tc>
      </w:tr>
    </w:tbl>
    <w:p w:rsidR="00E26BFE" w:rsidRDefault="00E26BFE">
      <w:pPr>
        <w:pStyle w:val="NormalWeb"/>
      </w:pPr>
      <w:r>
        <w:rPr>
          <w:rStyle w:val="Strong"/>
        </w:rPr>
        <w:t>Interpretation</w:t>
      </w:r>
      <w:proofErr w:type="gramStart"/>
      <w:r>
        <w:rPr>
          <w:rStyle w:val="Strong"/>
        </w:rPr>
        <w:t>:</w:t>
      </w:r>
      <w:proofErr w:type="gramEnd"/>
      <w:r>
        <w:br/>
        <w:t>The hypothetical data suggests that the integration of EMS can significantly enhance efficiency, accuracy, and communication while reducing administrative burden. These metrics validate the claim that EMS fosters smarter and more transparent governance.</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7. Findings and Discussion</w:t>
      </w:r>
    </w:p>
    <w:p w:rsidR="00E26BFE" w:rsidRDefault="00E26BFE">
      <w:pPr>
        <w:pStyle w:val="Heading4"/>
        <w:rPr>
          <w:rFonts w:eastAsia="Times New Roman"/>
        </w:rPr>
      </w:pPr>
      <w:r>
        <w:rPr>
          <w:rStyle w:val="Strong"/>
          <w:rFonts w:eastAsia="Times New Roman"/>
          <w:b w:val="0"/>
          <w:bCs w:val="0"/>
        </w:rPr>
        <w:t>7.1. Enhancing Administrative Efficiency</w:t>
      </w:r>
    </w:p>
    <w:p w:rsidR="00E26BFE" w:rsidRDefault="00E26BFE">
      <w:pPr>
        <w:pStyle w:val="NormalWeb"/>
      </w:pPr>
      <w:r>
        <w:t>EMS digitizes institutional operations, replacing paper-based systems with data-driven processes. It enables real-time monitoring, resource optimization, and performance evaluation, freeing administrators to focus on strategic leadership rather than routine clerical tasks.</w:t>
      </w:r>
    </w:p>
    <w:p w:rsidR="00E26BFE" w:rsidRDefault="00E26BFE">
      <w:pPr>
        <w:pStyle w:val="Heading4"/>
        <w:rPr>
          <w:rFonts w:eastAsia="Times New Roman"/>
        </w:rPr>
      </w:pPr>
      <w:r>
        <w:rPr>
          <w:rStyle w:val="Strong"/>
          <w:rFonts w:eastAsia="Times New Roman"/>
          <w:b w:val="0"/>
          <w:bCs w:val="0"/>
        </w:rPr>
        <w:lastRenderedPageBreak/>
        <w:t>7.2. Empowering Teachers and Learners</w:t>
      </w:r>
    </w:p>
    <w:p w:rsidR="00E26BFE" w:rsidRDefault="00E26BFE">
      <w:pPr>
        <w:pStyle w:val="NormalWeb"/>
      </w:pPr>
      <w:r>
        <w:t xml:space="preserve">Teachers benefit from automated grading systems, lesson plan tracking, and analytics-driven feedback mechanisms. Students, in turn, receive individualized learning paths and timely feedback, fostering deeper engagement. As </w:t>
      </w:r>
      <w:r>
        <w:rPr>
          <w:rStyle w:val="Strong"/>
        </w:rPr>
        <w:t>Kaur &amp; Sharma (2023)</w:t>
      </w:r>
      <w:r>
        <w:t xml:space="preserve"> noted, EMS supports differentiated instruction by identifying learning gaps.</w:t>
      </w:r>
    </w:p>
    <w:p w:rsidR="00E26BFE" w:rsidRDefault="00E26BFE">
      <w:pPr>
        <w:pStyle w:val="Heading4"/>
        <w:rPr>
          <w:rFonts w:eastAsia="Times New Roman"/>
        </w:rPr>
      </w:pPr>
      <w:r>
        <w:rPr>
          <w:rStyle w:val="Strong"/>
          <w:rFonts w:eastAsia="Times New Roman"/>
          <w:b w:val="0"/>
          <w:bCs w:val="0"/>
        </w:rPr>
        <w:t>7.3. Strengthening Parental and Community Engagement</w:t>
      </w:r>
    </w:p>
    <w:p w:rsidR="00E26BFE" w:rsidRDefault="00E26BFE">
      <w:pPr>
        <w:pStyle w:val="NormalWeb"/>
      </w:pPr>
      <w:r>
        <w:t>EMS platforms ensure continuous communication between parents and teachers through dashboards and alerts. This transparency builds accountability and community trust, aligning with NEP 2020’s vision of participatory education.</w:t>
      </w:r>
    </w:p>
    <w:p w:rsidR="00E26BFE" w:rsidRDefault="00E26BFE">
      <w:pPr>
        <w:pStyle w:val="Heading4"/>
        <w:rPr>
          <w:rFonts w:eastAsia="Times New Roman"/>
        </w:rPr>
      </w:pPr>
      <w:r>
        <w:rPr>
          <w:rStyle w:val="Strong"/>
          <w:rFonts w:eastAsia="Times New Roman"/>
          <w:b w:val="0"/>
          <w:bCs w:val="0"/>
        </w:rPr>
        <w:t>7.4. Policy and Governance Alignment</w:t>
      </w:r>
    </w:p>
    <w:p w:rsidR="00E26BFE" w:rsidRDefault="00E26BFE">
      <w:pPr>
        <w:pStyle w:val="NormalWeb"/>
      </w:pPr>
      <w:r>
        <w:t xml:space="preserve">EMS strengthens institutional governance by aligning with </w:t>
      </w:r>
      <w:r>
        <w:rPr>
          <w:rStyle w:val="Strong"/>
        </w:rPr>
        <w:t>NEP 2020</w:t>
      </w:r>
      <w:r>
        <w:t xml:space="preserve"> objectives: digital integration, experiential learning, and teacher empowerment. It also contributes to </w:t>
      </w:r>
      <w:r>
        <w:rPr>
          <w:rStyle w:val="Strong"/>
        </w:rPr>
        <w:t>SDG 4</w:t>
      </w:r>
      <w:r>
        <w:t xml:space="preserve"> (Quality Education) by promoting inclusivity, data transparency, and equitable learning opportunities.</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8. Challenges in Implementation</w:t>
      </w:r>
    </w:p>
    <w:p w:rsidR="00E26BFE" w:rsidRDefault="00E26BFE">
      <w:pPr>
        <w:pStyle w:val="NormalWeb"/>
      </w:pPr>
      <w:r>
        <w:t>Despite its promise, EMS adoption faces several constraints:</w:t>
      </w:r>
    </w:p>
    <w:p w:rsidR="00E26BFE" w:rsidRDefault="00E26BFE" w:rsidP="00E26BFE">
      <w:pPr>
        <w:numPr>
          <w:ilvl w:val="0"/>
          <w:numId w:val="3"/>
        </w:numPr>
        <w:spacing w:before="100" w:beforeAutospacing="1" w:after="100" w:afterAutospacing="1" w:line="240" w:lineRule="auto"/>
        <w:rPr>
          <w:rFonts w:eastAsia="Times New Roman"/>
        </w:rPr>
      </w:pPr>
      <w:r>
        <w:rPr>
          <w:rStyle w:val="Strong"/>
          <w:rFonts w:eastAsia="Times New Roman"/>
        </w:rPr>
        <w:t>Infrastructure Gaps:</w:t>
      </w:r>
      <w:r>
        <w:rPr>
          <w:rFonts w:eastAsia="Times New Roman"/>
        </w:rPr>
        <w:t xml:space="preserve"> Many rural schools lack internet access and electricity.</w:t>
      </w:r>
    </w:p>
    <w:p w:rsidR="00E26BFE" w:rsidRDefault="00E26BFE" w:rsidP="00E26BFE">
      <w:pPr>
        <w:numPr>
          <w:ilvl w:val="0"/>
          <w:numId w:val="3"/>
        </w:numPr>
        <w:spacing w:before="100" w:beforeAutospacing="1" w:after="100" w:afterAutospacing="1" w:line="240" w:lineRule="auto"/>
        <w:rPr>
          <w:rFonts w:eastAsia="Times New Roman"/>
        </w:rPr>
      </w:pPr>
      <w:r>
        <w:rPr>
          <w:rStyle w:val="Strong"/>
          <w:rFonts w:eastAsia="Times New Roman"/>
        </w:rPr>
        <w:t>Digital Literacy Deficit:</w:t>
      </w:r>
      <w:r>
        <w:rPr>
          <w:rFonts w:eastAsia="Times New Roman"/>
        </w:rPr>
        <w:t xml:space="preserve"> Teachers require sustained ICT training.</w:t>
      </w:r>
    </w:p>
    <w:p w:rsidR="00E26BFE" w:rsidRDefault="00E26BFE" w:rsidP="00E26BFE">
      <w:pPr>
        <w:numPr>
          <w:ilvl w:val="0"/>
          <w:numId w:val="3"/>
        </w:numPr>
        <w:spacing w:before="100" w:beforeAutospacing="1" w:after="100" w:afterAutospacing="1" w:line="240" w:lineRule="auto"/>
        <w:rPr>
          <w:rFonts w:eastAsia="Times New Roman"/>
        </w:rPr>
      </w:pPr>
      <w:r>
        <w:rPr>
          <w:rStyle w:val="Strong"/>
          <w:rFonts w:eastAsia="Times New Roman"/>
        </w:rPr>
        <w:t>Financial Constraints:</w:t>
      </w:r>
      <w:r>
        <w:rPr>
          <w:rFonts w:eastAsia="Times New Roman"/>
        </w:rPr>
        <w:t xml:space="preserve"> Initial setup and maintenance costs can be high.</w:t>
      </w:r>
    </w:p>
    <w:p w:rsidR="00E26BFE" w:rsidRDefault="00E26BFE" w:rsidP="00E26BFE">
      <w:pPr>
        <w:numPr>
          <w:ilvl w:val="0"/>
          <w:numId w:val="3"/>
        </w:numPr>
        <w:spacing w:before="100" w:beforeAutospacing="1" w:after="100" w:afterAutospacing="1" w:line="240" w:lineRule="auto"/>
        <w:rPr>
          <w:rFonts w:eastAsia="Times New Roman"/>
        </w:rPr>
      </w:pPr>
      <w:r>
        <w:rPr>
          <w:rStyle w:val="Strong"/>
          <w:rFonts w:eastAsia="Times New Roman"/>
        </w:rPr>
        <w:t>Resistance to Change:</w:t>
      </w:r>
      <w:r>
        <w:rPr>
          <w:rFonts w:eastAsia="Times New Roman"/>
        </w:rPr>
        <w:t xml:space="preserve"> Some educators are hesitant to adopt digital tools.</w:t>
      </w:r>
    </w:p>
    <w:p w:rsidR="00E26BFE" w:rsidRDefault="00E26BFE" w:rsidP="00E26BFE">
      <w:pPr>
        <w:numPr>
          <w:ilvl w:val="0"/>
          <w:numId w:val="3"/>
        </w:numPr>
        <w:spacing w:before="100" w:beforeAutospacing="1" w:after="100" w:afterAutospacing="1" w:line="240" w:lineRule="auto"/>
        <w:rPr>
          <w:rFonts w:eastAsia="Times New Roman"/>
        </w:rPr>
      </w:pPr>
      <w:r>
        <w:rPr>
          <w:rStyle w:val="Strong"/>
          <w:rFonts w:eastAsia="Times New Roman"/>
        </w:rPr>
        <w:t>Data Security Concerns:</w:t>
      </w:r>
      <w:r>
        <w:rPr>
          <w:rFonts w:eastAsia="Times New Roman"/>
        </w:rPr>
        <w:t xml:space="preserve"> Protection of student and institutional data is critical.</w:t>
      </w:r>
    </w:p>
    <w:p w:rsidR="00E26BFE" w:rsidRDefault="00E26BFE">
      <w:pPr>
        <w:pStyle w:val="NormalWeb"/>
      </w:pPr>
      <w:r>
        <w:t>Addressing these barriers requires strategic investment, public-private partnerships, and robust training initiatives.</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9. Policy Integration and Future Directions</w:t>
      </w:r>
    </w:p>
    <w:p w:rsidR="00E26BFE" w:rsidRDefault="00E26BFE">
      <w:pPr>
        <w:pStyle w:val="NormalWeb"/>
      </w:pPr>
      <w:r>
        <w:t xml:space="preserve">The </w:t>
      </w:r>
      <w:r>
        <w:rPr>
          <w:rStyle w:val="Strong"/>
        </w:rPr>
        <w:t>National Education Policy (NEP) 2020</w:t>
      </w:r>
      <w:r>
        <w:t xml:space="preserve"> envisions technology as a catalyst for educational transformation. EMS supports this by providing platforms for monitoring outcomes, resource management, and teacher appraisal. The Government of India’s </w:t>
      </w:r>
      <w:r>
        <w:rPr>
          <w:rStyle w:val="Strong"/>
        </w:rPr>
        <w:t>Digital Infrastructure for Knowledge Sharing (DIKSHA)</w:t>
      </w:r>
      <w:r>
        <w:t xml:space="preserve"> and </w:t>
      </w:r>
      <w:r>
        <w:rPr>
          <w:rStyle w:val="Strong"/>
        </w:rPr>
        <w:t>SWAYAM</w:t>
      </w:r>
      <w:r>
        <w:t xml:space="preserve"> platforms complement EMS integration by supporting content dissemination and analytics.</w:t>
      </w:r>
    </w:p>
    <w:p w:rsidR="00E26BFE" w:rsidRDefault="00E26BFE">
      <w:pPr>
        <w:pStyle w:val="NormalWeb"/>
      </w:pPr>
      <w:r>
        <w:lastRenderedPageBreak/>
        <w:t xml:space="preserve">Globally, the </w:t>
      </w:r>
      <w:r>
        <w:rPr>
          <w:rStyle w:val="Strong"/>
        </w:rPr>
        <w:t>UNESCO SDG 4 framework</w:t>
      </w:r>
      <w:r>
        <w:t xml:space="preserve"> promotes quality education through technology-driven governance. EMS aligns with these goals by ensuring transparency, access, and continuous improvement.</w:t>
      </w:r>
    </w:p>
    <w:p w:rsidR="00E26BFE" w:rsidRDefault="00E26BFE">
      <w:pPr>
        <w:pStyle w:val="NormalWeb"/>
      </w:pPr>
      <w:r>
        <w:t xml:space="preserve">Future EMS should integrate </w:t>
      </w:r>
      <w:r>
        <w:rPr>
          <w:rStyle w:val="Strong"/>
        </w:rPr>
        <w:t>Artificial Intelligence (AI)</w:t>
      </w:r>
      <w:r>
        <w:t xml:space="preserve"> and </w:t>
      </w:r>
      <w:r>
        <w:rPr>
          <w:rStyle w:val="Strong"/>
        </w:rPr>
        <w:t>Machine Learning (ML)</w:t>
      </w:r>
      <w:r>
        <w:t xml:space="preserve"> to provide predictive analytics, adaptive learning, and automated administrative insights. The fusion of AI with EMS will mark the next stage of educational evolution.</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10. Recommendations</w:t>
      </w:r>
    </w:p>
    <w:p w:rsidR="00E26BFE" w:rsidRDefault="00E26BFE" w:rsidP="00E26BFE">
      <w:pPr>
        <w:numPr>
          <w:ilvl w:val="0"/>
          <w:numId w:val="4"/>
        </w:numPr>
        <w:spacing w:before="100" w:beforeAutospacing="1" w:after="100" w:afterAutospacing="1" w:line="240" w:lineRule="auto"/>
        <w:rPr>
          <w:rFonts w:eastAsia="Times New Roman"/>
        </w:rPr>
      </w:pPr>
      <w:r>
        <w:rPr>
          <w:rStyle w:val="Strong"/>
          <w:rFonts w:eastAsia="Times New Roman"/>
        </w:rPr>
        <w:t>Capacity Building:</w:t>
      </w:r>
      <w:r>
        <w:rPr>
          <w:rFonts w:eastAsia="Times New Roman"/>
        </w:rPr>
        <w:t xml:space="preserve"> Continuous teacher training in EMS and ICT skills.</w:t>
      </w:r>
    </w:p>
    <w:p w:rsidR="00E26BFE" w:rsidRDefault="00E26BFE" w:rsidP="00E26BFE">
      <w:pPr>
        <w:numPr>
          <w:ilvl w:val="0"/>
          <w:numId w:val="4"/>
        </w:numPr>
        <w:spacing w:before="100" w:beforeAutospacing="1" w:after="100" w:afterAutospacing="1" w:line="240" w:lineRule="auto"/>
        <w:rPr>
          <w:rFonts w:eastAsia="Times New Roman"/>
        </w:rPr>
      </w:pPr>
      <w:r>
        <w:rPr>
          <w:rStyle w:val="Strong"/>
          <w:rFonts w:eastAsia="Times New Roman"/>
        </w:rPr>
        <w:t>Infrastructure Development:</w:t>
      </w:r>
      <w:r>
        <w:rPr>
          <w:rFonts w:eastAsia="Times New Roman"/>
        </w:rPr>
        <w:t xml:space="preserve"> Ensure broadband access and digital resources across rural India.</w:t>
      </w:r>
    </w:p>
    <w:p w:rsidR="00E26BFE" w:rsidRDefault="00E26BFE" w:rsidP="00E26BFE">
      <w:pPr>
        <w:numPr>
          <w:ilvl w:val="0"/>
          <w:numId w:val="4"/>
        </w:numPr>
        <w:spacing w:before="100" w:beforeAutospacing="1" w:after="100" w:afterAutospacing="1" w:line="240" w:lineRule="auto"/>
        <w:rPr>
          <w:rFonts w:eastAsia="Times New Roman"/>
        </w:rPr>
      </w:pPr>
      <w:r>
        <w:rPr>
          <w:rStyle w:val="Strong"/>
          <w:rFonts w:eastAsia="Times New Roman"/>
        </w:rPr>
        <w:t>Localization:</w:t>
      </w:r>
      <w:r>
        <w:rPr>
          <w:rFonts w:eastAsia="Times New Roman"/>
        </w:rPr>
        <w:t xml:space="preserve"> Customize EMS to regional languages and curricula.</w:t>
      </w:r>
    </w:p>
    <w:p w:rsidR="00E26BFE" w:rsidRDefault="00E26BFE" w:rsidP="00E26BFE">
      <w:pPr>
        <w:numPr>
          <w:ilvl w:val="0"/>
          <w:numId w:val="4"/>
        </w:numPr>
        <w:spacing w:before="100" w:beforeAutospacing="1" w:after="100" w:afterAutospacing="1" w:line="240" w:lineRule="auto"/>
        <w:rPr>
          <w:rFonts w:eastAsia="Times New Roman"/>
        </w:rPr>
      </w:pPr>
      <w:r>
        <w:rPr>
          <w:rStyle w:val="Strong"/>
          <w:rFonts w:eastAsia="Times New Roman"/>
        </w:rPr>
        <w:t>Public-Private Collaboration:</w:t>
      </w:r>
      <w:r>
        <w:rPr>
          <w:rFonts w:eastAsia="Times New Roman"/>
        </w:rPr>
        <w:t xml:space="preserve"> Leverage partnerships to minimize costs and share best practices.</w:t>
      </w:r>
    </w:p>
    <w:p w:rsidR="00E26BFE" w:rsidRDefault="00E26BFE" w:rsidP="00E26BFE">
      <w:pPr>
        <w:numPr>
          <w:ilvl w:val="0"/>
          <w:numId w:val="4"/>
        </w:numPr>
        <w:spacing w:before="100" w:beforeAutospacing="1" w:after="100" w:afterAutospacing="1" w:line="240" w:lineRule="auto"/>
        <w:rPr>
          <w:rFonts w:eastAsia="Times New Roman"/>
        </w:rPr>
      </w:pPr>
      <w:r>
        <w:rPr>
          <w:rStyle w:val="Strong"/>
          <w:rFonts w:eastAsia="Times New Roman"/>
        </w:rPr>
        <w:t>Ethical Data Governance:</w:t>
      </w:r>
      <w:r>
        <w:rPr>
          <w:rFonts w:eastAsia="Times New Roman"/>
        </w:rPr>
        <w:t xml:space="preserve"> Establish robust privacy and cybersecurity frameworks.</w:t>
      </w:r>
    </w:p>
    <w:p w:rsidR="00E26BFE" w:rsidRDefault="00E26BFE" w:rsidP="00E26BFE">
      <w:pPr>
        <w:numPr>
          <w:ilvl w:val="0"/>
          <w:numId w:val="4"/>
        </w:numPr>
        <w:spacing w:before="100" w:beforeAutospacing="1" w:after="100" w:afterAutospacing="1" w:line="240" w:lineRule="auto"/>
        <w:rPr>
          <w:rFonts w:eastAsia="Times New Roman"/>
        </w:rPr>
      </w:pPr>
      <w:r>
        <w:rPr>
          <w:rStyle w:val="Strong"/>
          <w:rFonts w:eastAsia="Times New Roman"/>
        </w:rPr>
        <w:t>AI-Enabled EMS:</w:t>
      </w:r>
      <w:r>
        <w:rPr>
          <w:rFonts w:eastAsia="Times New Roman"/>
        </w:rPr>
        <w:t xml:space="preserve"> Integrate intelligent analytics for personalized learning.</w:t>
      </w:r>
    </w:p>
    <w:p w:rsidR="00E26BFE" w:rsidRDefault="00E26BFE" w:rsidP="00E26BFE">
      <w:pPr>
        <w:numPr>
          <w:ilvl w:val="0"/>
          <w:numId w:val="4"/>
        </w:numPr>
        <w:spacing w:before="100" w:beforeAutospacing="1" w:after="100" w:afterAutospacing="1" w:line="240" w:lineRule="auto"/>
        <w:rPr>
          <w:rFonts w:eastAsia="Times New Roman"/>
        </w:rPr>
      </w:pPr>
      <w:r>
        <w:rPr>
          <w:rStyle w:val="Strong"/>
          <w:rFonts w:eastAsia="Times New Roman"/>
        </w:rPr>
        <w:t>Monitoring and Evaluation:</w:t>
      </w:r>
      <w:r>
        <w:rPr>
          <w:rFonts w:eastAsia="Times New Roman"/>
        </w:rPr>
        <w:t xml:space="preserve"> Set measurable indicators for EMS performance assessment.</w:t>
      </w:r>
    </w:p>
    <w:p w:rsidR="00E26BFE" w:rsidRDefault="00E26BFE">
      <w:pPr>
        <w:spacing w:after="0"/>
        <w:rPr>
          <w:rFonts w:eastAsia="Times New Roman"/>
        </w:rPr>
      </w:pPr>
    </w:p>
    <w:p w:rsidR="00E26BFE" w:rsidRDefault="00E26BFE">
      <w:pPr>
        <w:pStyle w:val="Heading3"/>
        <w:rPr>
          <w:rFonts w:eastAsia="Times New Roman"/>
        </w:rPr>
      </w:pPr>
      <w:r>
        <w:rPr>
          <w:rStyle w:val="Strong"/>
          <w:rFonts w:eastAsia="Times New Roman"/>
          <w:b w:val="0"/>
          <w:bCs w:val="0"/>
        </w:rPr>
        <w:t>11. Conclusion</w:t>
      </w:r>
    </w:p>
    <w:p w:rsidR="00E26BFE" w:rsidRDefault="00E26BFE">
      <w:pPr>
        <w:pStyle w:val="NormalWeb"/>
      </w:pPr>
      <w:r>
        <w:t>Education Management Systems symbolize a paradigm shift from conventional administration to digital leadership. They combine efficiency with empathy, and data with decision-making. As India embraces NEP 2020, EMS emerges as a transformative force connecting every element of education — from classrooms to communities.</w:t>
      </w:r>
    </w:p>
    <w:p w:rsidR="00E26BFE" w:rsidRDefault="00E26BFE">
      <w:pPr>
        <w:pStyle w:val="NormalWeb"/>
      </w:pPr>
      <w:r>
        <w:t xml:space="preserve">When used strategically, EMS enhances not just institutional governance but the holistic development of students. In the coming years, the effectiveness of India’s education system will increasingly depend on how successfully EMS platforms are integrated and utilized. As such, EMS truly serves as the </w:t>
      </w:r>
      <w:r>
        <w:rPr>
          <w:rStyle w:val="Strong"/>
        </w:rPr>
        <w:t>digital backbone of modern learning</w:t>
      </w:r>
      <w:r>
        <w:t xml:space="preserve"> — ensuring that education remains relevant, resilient, and responsive in the 21st century.</w:t>
      </w:r>
    </w:p>
    <w:p w:rsidR="00E26BFE" w:rsidRDefault="00E26BFE">
      <w:pPr>
        <w:rPr>
          <w:rFonts w:eastAsia="Times New Roman"/>
        </w:rPr>
      </w:pPr>
    </w:p>
    <w:p w:rsidR="00E26BFE" w:rsidRDefault="00E26BFE">
      <w:pPr>
        <w:pStyle w:val="Heading3"/>
        <w:rPr>
          <w:rFonts w:eastAsia="Times New Roman"/>
        </w:rPr>
      </w:pPr>
      <w:r>
        <w:rPr>
          <w:rStyle w:val="Strong"/>
          <w:rFonts w:eastAsia="Times New Roman"/>
          <w:b w:val="0"/>
          <w:bCs w:val="0"/>
        </w:rPr>
        <w:t>Acknowledgements</w:t>
      </w:r>
    </w:p>
    <w:p w:rsidR="00E26BFE" w:rsidRDefault="00E26BFE">
      <w:pPr>
        <w:pStyle w:val="NormalWeb"/>
      </w:pPr>
      <w:r>
        <w:t xml:space="preserve">The author expresses deep gratitude to </w:t>
      </w:r>
      <w:r>
        <w:rPr>
          <w:rStyle w:val="Strong"/>
        </w:rPr>
        <w:t>teachers, students, school administrators, and education policymakers</w:t>
      </w:r>
      <w:r>
        <w:t xml:space="preserve"> whose dedication to learning continues to shape India’s educational landscape. This paper is especially dedicated to every teacher who believes that true education </w:t>
      </w:r>
      <w:r>
        <w:lastRenderedPageBreak/>
        <w:t>begins not with technology, but with inspiration — and to every student whose curiosity drives progress.</w:t>
      </w:r>
    </w:p>
    <w:p w:rsidR="00E26BFE" w:rsidRDefault="00E26BFE">
      <w:pPr>
        <w:rPr>
          <w:rFonts w:eastAsia="Times New Roman"/>
        </w:rPr>
      </w:pPr>
    </w:p>
    <w:p w:rsidR="00E26BFE" w:rsidRDefault="00E26BFE">
      <w:pPr>
        <w:pStyle w:val="Heading3"/>
        <w:rPr>
          <w:rFonts w:eastAsia="Times New Roman"/>
        </w:rPr>
      </w:pPr>
      <w:proofErr w:type="gramStart"/>
      <w:r>
        <w:rPr>
          <w:rStyle w:val="Strong"/>
          <w:rFonts w:eastAsia="Times New Roman"/>
          <w:b w:val="0"/>
          <w:bCs w:val="0"/>
        </w:rPr>
        <w:t xml:space="preserve">References </w:t>
      </w:r>
      <w:r w:rsidR="00FB77A3">
        <w:rPr>
          <w:rStyle w:val="Strong"/>
          <w:rFonts w:eastAsia="Times New Roman"/>
          <w:b w:val="0"/>
          <w:bCs w:val="0"/>
        </w:rPr>
        <w:t>:</w:t>
      </w:r>
      <w:proofErr w:type="gramEnd"/>
      <w:r w:rsidR="00FB77A3">
        <w:rPr>
          <w:rStyle w:val="Strong"/>
          <w:rFonts w:eastAsia="Times New Roman"/>
          <w:b w:val="0"/>
          <w:bCs w:val="0"/>
        </w:rPr>
        <w:t>-</w:t>
      </w:r>
    </w:p>
    <w:p w:rsidR="00E26BFE" w:rsidRDefault="00E26BFE" w:rsidP="00E26BFE">
      <w:pPr>
        <w:numPr>
          <w:ilvl w:val="0"/>
          <w:numId w:val="5"/>
        </w:numPr>
        <w:spacing w:before="100" w:beforeAutospacing="1" w:after="100" w:afterAutospacing="1" w:line="240" w:lineRule="auto"/>
        <w:rPr>
          <w:rFonts w:eastAsia="Times New Roman"/>
        </w:rPr>
      </w:pPr>
      <w:r>
        <w:rPr>
          <w:rFonts w:eastAsia="Times New Roman"/>
        </w:rPr>
        <w:t xml:space="preserve">Kaur, S., &amp; Sharma, P. (2023). </w:t>
      </w:r>
      <w:r>
        <w:rPr>
          <w:rStyle w:val="Emphasis"/>
          <w:rFonts w:eastAsia="Times New Roman"/>
        </w:rPr>
        <w:t>Digital governance in school education: A study on education management systems in India.</w:t>
      </w:r>
      <w:r>
        <w:rPr>
          <w:rFonts w:eastAsia="Times New Roman"/>
        </w:rPr>
        <w:t xml:space="preserve"> Journal of Educational Technology Studies, 12(3), 45–57.</w:t>
      </w:r>
    </w:p>
    <w:p w:rsidR="00E26BFE" w:rsidRDefault="00E26BFE" w:rsidP="00E26BFE">
      <w:pPr>
        <w:numPr>
          <w:ilvl w:val="0"/>
          <w:numId w:val="5"/>
        </w:numPr>
        <w:spacing w:before="100" w:beforeAutospacing="1" w:after="100" w:afterAutospacing="1" w:line="240" w:lineRule="auto"/>
        <w:rPr>
          <w:rFonts w:eastAsia="Times New Roman"/>
        </w:rPr>
      </w:pPr>
      <w:r>
        <w:rPr>
          <w:rFonts w:eastAsia="Times New Roman"/>
        </w:rPr>
        <w:t xml:space="preserve">Kumar, R., &amp; George, S. (2022). </w:t>
      </w:r>
      <w:r>
        <w:rPr>
          <w:rStyle w:val="Emphasis"/>
          <w:rFonts w:eastAsia="Times New Roman"/>
        </w:rPr>
        <w:t>Technology integration in K–12 education: The role of management systems.</w:t>
      </w:r>
      <w:r>
        <w:rPr>
          <w:rFonts w:eastAsia="Times New Roman"/>
        </w:rPr>
        <w:t xml:space="preserve"> International Journal of Modern Education, 9(1), 56–72.</w:t>
      </w:r>
    </w:p>
    <w:p w:rsidR="00E26BFE" w:rsidRDefault="00E26BFE" w:rsidP="00E26BFE">
      <w:pPr>
        <w:numPr>
          <w:ilvl w:val="0"/>
          <w:numId w:val="5"/>
        </w:numPr>
        <w:spacing w:before="100" w:beforeAutospacing="1" w:after="100" w:afterAutospacing="1" w:line="240" w:lineRule="auto"/>
        <w:rPr>
          <w:rFonts w:eastAsia="Times New Roman"/>
        </w:rPr>
      </w:pPr>
      <w:r>
        <w:rPr>
          <w:rFonts w:eastAsia="Times New Roman"/>
        </w:rPr>
        <w:t xml:space="preserve">Mishra, P. (2022). </w:t>
      </w:r>
      <w:r>
        <w:rPr>
          <w:rStyle w:val="Emphasis"/>
          <w:rFonts w:eastAsia="Times New Roman"/>
        </w:rPr>
        <w:t>Digital divide and school management in rural India.</w:t>
      </w:r>
      <w:r>
        <w:rPr>
          <w:rFonts w:eastAsia="Times New Roman"/>
        </w:rPr>
        <w:t xml:space="preserve"> Educational Policy Review, 15(1), 101–117.</w:t>
      </w:r>
    </w:p>
    <w:p w:rsidR="00E26BFE" w:rsidRDefault="00E26BFE" w:rsidP="00E26BFE">
      <w:pPr>
        <w:numPr>
          <w:ilvl w:val="0"/>
          <w:numId w:val="5"/>
        </w:numPr>
        <w:spacing w:before="100" w:beforeAutospacing="1" w:after="100" w:afterAutospacing="1" w:line="240" w:lineRule="auto"/>
        <w:rPr>
          <w:rFonts w:eastAsia="Times New Roman"/>
        </w:rPr>
      </w:pPr>
      <w:proofErr w:type="spellStart"/>
      <w:r>
        <w:rPr>
          <w:rFonts w:eastAsia="Times New Roman"/>
        </w:rPr>
        <w:t>Nayak</w:t>
      </w:r>
      <w:proofErr w:type="spellEnd"/>
      <w:r>
        <w:rPr>
          <w:rFonts w:eastAsia="Times New Roman"/>
        </w:rPr>
        <w:t xml:space="preserve">, A., &amp; Bose, R. (2024). </w:t>
      </w:r>
      <w:r>
        <w:rPr>
          <w:rStyle w:val="Emphasis"/>
          <w:rFonts w:eastAsia="Times New Roman"/>
        </w:rPr>
        <w:t>Reimagining educational administration through EMS adoption in India.</w:t>
      </w:r>
      <w:r>
        <w:rPr>
          <w:rFonts w:eastAsia="Times New Roman"/>
        </w:rPr>
        <w:t xml:space="preserve"> Indian Journal of Digital Education, 6(2), 33–49.</w:t>
      </w:r>
    </w:p>
    <w:p w:rsidR="00E26BFE" w:rsidRDefault="00E26BFE" w:rsidP="00E26BFE">
      <w:pPr>
        <w:numPr>
          <w:ilvl w:val="0"/>
          <w:numId w:val="5"/>
        </w:numPr>
        <w:spacing w:before="100" w:beforeAutospacing="1" w:after="100" w:afterAutospacing="1" w:line="240" w:lineRule="auto"/>
        <w:rPr>
          <w:rFonts w:eastAsia="Times New Roman"/>
        </w:rPr>
      </w:pPr>
      <w:r>
        <w:rPr>
          <w:rFonts w:eastAsia="Times New Roman"/>
        </w:rPr>
        <w:t xml:space="preserve">OECD. (2023). </w:t>
      </w:r>
      <w:r>
        <w:rPr>
          <w:rStyle w:val="Emphasis"/>
          <w:rFonts w:eastAsia="Times New Roman"/>
        </w:rPr>
        <w:t>Digital education outlook: Shaping the future of learning environments.</w:t>
      </w:r>
      <w:r>
        <w:rPr>
          <w:rFonts w:eastAsia="Times New Roman"/>
        </w:rPr>
        <w:t xml:space="preserve"> Paris: OECD Publishing.</w:t>
      </w:r>
    </w:p>
    <w:p w:rsidR="00E26BFE" w:rsidRDefault="00E26BFE" w:rsidP="00E26BFE">
      <w:pPr>
        <w:numPr>
          <w:ilvl w:val="0"/>
          <w:numId w:val="5"/>
        </w:numPr>
        <w:spacing w:before="100" w:beforeAutospacing="1" w:after="100" w:afterAutospacing="1" w:line="240" w:lineRule="auto"/>
        <w:rPr>
          <w:rFonts w:eastAsia="Times New Roman"/>
        </w:rPr>
      </w:pPr>
      <w:r>
        <w:rPr>
          <w:rFonts w:eastAsia="Times New Roman"/>
        </w:rPr>
        <w:t xml:space="preserve">Pandey, A., &amp; Singh, N. (2023). </w:t>
      </w:r>
      <w:r>
        <w:rPr>
          <w:rStyle w:val="Emphasis"/>
          <w:rFonts w:eastAsia="Times New Roman"/>
        </w:rPr>
        <w:t>Efficiency and accountability through education management systems in schools.</w:t>
      </w:r>
      <w:r>
        <w:rPr>
          <w:rFonts w:eastAsia="Times New Roman"/>
        </w:rPr>
        <w:t xml:space="preserve"> Indian Journal of Educational Administration, 8(2), 25–41.</w:t>
      </w:r>
    </w:p>
    <w:p w:rsidR="00E26BFE" w:rsidRDefault="00E26BFE" w:rsidP="00E26BFE">
      <w:pPr>
        <w:numPr>
          <w:ilvl w:val="0"/>
          <w:numId w:val="5"/>
        </w:numPr>
        <w:spacing w:before="100" w:beforeAutospacing="1" w:after="100" w:afterAutospacing="1" w:line="240" w:lineRule="auto"/>
        <w:rPr>
          <w:rFonts w:eastAsia="Times New Roman"/>
        </w:rPr>
      </w:pPr>
      <w:r>
        <w:rPr>
          <w:rFonts w:eastAsia="Times New Roman"/>
        </w:rPr>
        <w:t xml:space="preserve">UNESCO. (2024). </w:t>
      </w:r>
      <w:r>
        <w:rPr>
          <w:rStyle w:val="Emphasis"/>
          <w:rFonts w:eastAsia="Times New Roman"/>
        </w:rPr>
        <w:t>Global Education Monitoring Report 2024: Technology in education for sustainable development.</w:t>
      </w:r>
      <w:r>
        <w:rPr>
          <w:rFonts w:eastAsia="Times New Roman"/>
        </w:rPr>
        <w:t xml:space="preserve"> Paris: UNESCO.</w:t>
      </w:r>
    </w:p>
    <w:p w:rsidR="00E26BFE" w:rsidRPr="00594256" w:rsidRDefault="006B2644" w:rsidP="00594256">
      <w:pPr>
        <w:spacing w:after="0"/>
        <w:rPr>
          <w:rFonts w:eastAsia="Times New Roman"/>
        </w:rPr>
      </w:pPr>
      <w:r>
        <w:rPr>
          <w:rFonts w:eastAsia="Times New Roman"/>
          <w:noProof/>
        </w:rPr>
      </w:r>
      <w:r>
        <w:rPr>
          <w:rFonts w:eastAsia="Times New Roman"/>
          <w:noProof/>
        </w:rPr>
        <w:pict>
          <v:rect id="Rectangle 2" o:spid="_x0000_s1026" style="width:468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" filled="f">
            <w10:wrap type="none"/>
            <w10:anchorlock/>
          </v:rect>
        </w:pict>
      </w:r>
    </w:p>
    <w:p w:rsidR="00E26BFE" w:rsidRDefault="00E26BFE"/>
    <w:sectPr w:rsidR="00E26BFE" w:rsidSect="00FB77A3">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77A3" w:rsidRDefault="00FB77A3" w:rsidP="00FB77A3">
      <w:pPr>
        <w:spacing w:after="0" w:line="240" w:lineRule="auto"/>
      </w:pPr>
      <w:r>
        <w:separator/>
      </w:r>
    </w:p>
  </w:endnote>
  <w:endnote w:type="continuationSeparator" w:id="1">
    <w:p w:rsidR="00FB77A3" w:rsidRDefault="00FB77A3" w:rsidP="00FB77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4735"/>
      <w:docPartObj>
        <w:docPartGallery w:val="Page Numbers (Bottom of Page)"/>
        <w:docPartUnique/>
      </w:docPartObj>
    </w:sdtPr>
    <w:sdtEndPr>
      <w:rPr>
        <w:color w:val="7F7F7F" w:themeColor="background1" w:themeShade="7F"/>
        <w:spacing w:val="60"/>
      </w:rPr>
    </w:sdtEndPr>
    <w:sdtContent>
      <w:p w:rsidR="00FB77A3" w:rsidRDefault="00FB77A3">
        <w:pPr>
          <w:pStyle w:val="Footer"/>
          <w:pBdr>
            <w:top w:val="single" w:sz="4" w:space="1" w:color="D9D9D9" w:themeColor="background1" w:themeShade="D9"/>
          </w:pBdr>
          <w:rPr>
            <w:b/>
          </w:rPr>
        </w:pPr>
        <w:fldSimple w:instr=" PAGE   \* MERGEFORMAT ">
          <w:r w:rsidR="0031374C" w:rsidRPr="0031374C">
            <w:rPr>
              <w:b/>
              <w:noProof/>
            </w:rPr>
            <w:t>7</w:t>
          </w:r>
        </w:fldSimple>
        <w:r>
          <w:rPr>
            <w:b/>
          </w:rPr>
          <w:t xml:space="preserve"> | </w:t>
        </w:r>
        <w:r>
          <w:rPr>
            <w:color w:val="7F7F7F" w:themeColor="background1" w:themeShade="7F"/>
            <w:spacing w:val="60"/>
          </w:rPr>
          <w:t>Page</w:t>
        </w:r>
      </w:p>
    </w:sdtContent>
  </w:sdt>
  <w:p w:rsidR="00FB77A3" w:rsidRDefault="00FB77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77A3" w:rsidRDefault="00FB77A3" w:rsidP="00FB77A3">
      <w:pPr>
        <w:spacing w:after="0" w:line="240" w:lineRule="auto"/>
      </w:pPr>
      <w:r>
        <w:separator/>
      </w:r>
    </w:p>
  </w:footnote>
  <w:footnote w:type="continuationSeparator" w:id="1">
    <w:p w:rsidR="00FB77A3" w:rsidRDefault="00FB77A3" w:rsidP="00FB77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452C8"/>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DF59CA"/>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765D0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E61FD7"/>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51A3E3B"/>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0"/>
    <w:footnote w:id="1"/>
  </w:footnotePr>
  <w:endnotePr>
    <w:endnote w:id="0"/>
    <w:endnote w:id="1"/>
  </w:endnotePr>
  <w:compat>
    <w:useFELayout/>
  </w:compat>
  <w:rsids>
    <w:rsidRoot w:val="00E26BFE"/>
    <w:rsid w:val="002351B9"/>
    <w:rsid w:val="00242B1F"/>
    <w:rsid w:val="0031374C"/>
    <w:rsid w:val="00330DED"/>
    <w:rsid w:val="00594256"/>
    <w:rsid w:val="006448D3"/>
    <w:rsid w:val="006B2644"/>
    <w:rsid w:val="00852CFF"/>
    <w:rsid w:val="00E26BFE"/>
    <w:rsid w:val="00F46511"/>
    <w:rsid w:val="00FB77A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644"/>
  </w:style>
  <w:style w:type="paragraph" w:styleId="Heading1">
    <w:name w:val="heading 1"/>
    <w:basedOn w:val="Normal"/>
    <w:next w:val="Normal"/>
    <w:link w:val="Heading1Char"/>
    <w:uiPriority w:val="9"/>
    <w:qFormat/>
    <w:rsid w:val="00E26B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26B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26B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E26B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6B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6B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6B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6B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6B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6B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26B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26B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26B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6B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6B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6B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6B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6BFE"/>
    <w:rPr>
      <w:rFonts w:eastAsiaTheme="majorEastAsia" w:cstheme="majorBidi"/>
      <w:color w:val="272727" w:themeColor="text1" w:themeTint="D8"/>
    </w:rPr>
  </w:style>
  <w:style w:type="paragraph" w:styleId="Title">
    <w:name w:val="Title"/>
    <w:basedOn w:val="Normal"/>
    <w:next w:val="Normal"/>
    <w:link w:val="TitleChar"/>
    <w:uiPriority w:val="10"/>
    <w:qFormat/>
    <w:rsid w:val="00E26B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6B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6B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6B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6BFE"/>
    <w:pPr>
      <w:spacing w:before="160"/>
      <w:jc w:val="center"/>
    </w:pPr>
    <w:rPr>
      <w:i/>
      <w:iCs/>
      <w:color w:val="404040" w:themeColor="text1" w:themeTint="BF"/>
    </w:rPr>
  </w:style>
  <w:style w:type="character" w:customStyle="1" w:styleId="QuoteChar">
    <w:name w:val="Quote Char"/>
    <w:basedOn w:val="DefaultParagraphFont"/>
    <w:link w:val="Quote"/>
    <w:uiPriority w:val="29"/>
    <w:rsid w:val="00E26BFE"/>
    <w:rPr>
      <w:i/>
      <w:iCs/>
      <w:color w:val="404040" w:themeColor="text1" w:themeTint="BF"/>
    </w:rPr>
  </w:style>
  <w:style w:type="paragraph" w:styleId="ListParagraph">
    <w:name w:val="List Paragraph"/>
    <w:basedOn w:val="Normal"/>
    <w:uiPriority w:val="34"/>
    <w:qFormat/>
    <w:rsid w:val="00E26BFE"/>
    <w:pPr>
      <w:ind w:left="720"/>
      <w:contextualSpacing/>
    </w:pPr>
  </w:style>
  <w:style w:type="character" w:styleId="IntenseEmphasis">
    <w:name w:val="Intense Emphasis"/>
    <w:basedOn w:val="DefaultParagraphFont"/>
    <w:uiPriority w:val="21"/>
    <w:qFormat/>
    <w:rsid w:val="00E26BFE"/>
    <w:rPr>
      <w:i/>
      <w:iCs/>
      <w:color w:val="0F4761" w:themeColor="accent1" w:themeShade="BF"/>
    </w:rPr>
  </w:style>
  <w:style w:type="paragraph" w:styleId="IntenseQuote">
    <w:name w:val="Intense Quote"/>
    <w:basedOn w:val="Normal"/>
    <w:next w:val="Normal"/>
    <w:link w:val="IntenseQuoteChar"/>
    <w:uiPriority w:val="30"/>
    <w:qFormat/>
    <w:rsid w:val="00E26B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6BFE"/>
    <w:rPr>
      <w:i/>
      <w:iCs/>
      <w:color w:val="0F4761" w:themeColor="accent1" w:themeShade="BF"/>
    </w:rPr>
  </w:style>
  <w:style w:type="character" w:styleId="IntenseReference">
    <w:name w:val="Intense Reference"/>
    <w:basedOn w:val="DefaultParagraphFont"/>
    <w:uiPriority w:val="32"/>
    <w:qFormat/>
    <w:rsid w:val="00E26BFE"/>
    <w:rPr>
      <w:b/>
      <w:bCs/>
      <w:smallCaps/>
      <w:color w:val="0F4761" w:themeColor="accent1" w:themeShade="BF"/>
      <w:spacing w:val="5"/>
    </w:rPr>
  </w:style>
  <w:style w:type="paragraph" w:styleId="NormalWeb">
    <w:name w:val="Normal (Web)"/>
    <w:basedOn w:val="Normal"/>
    <w:uiPriority w:val="99"/>
    <w:unhideWhenUsed/>
    <w:rsid w:val="00E26BFE"/>
    <w:pPr>
      <w:spacing w:before="100" w:beforeAutospacing="1" w:after="100" w:afterAutospacing="1" w:line="240" w:lineRule="auto"/>
    </w:pPr>
    <w:rPr>
      <w:rFonts w:ascii="Times New Roman" w:hAnsi="Times New Roman" w:cs="Times New Roman"/>
      <w:kern w:val="0"/>
    </w:rPr>
  </w:style>
  <w:style w:type="character" w:styleId="Strong">
    <w:name w:val="Strong"/>
    <w:basedOn w:val="DefaultParagraphFont"/>
    <w:uiPriority w:val="22"/>
    <w:qFormat/>
    <w:rsid w:val="00E26BFE"/>
    <w:rPr>
      <w:b/>
      <w:bCs/>
    </w:rPr>
  </w:style>
  <w:style w:type="character" w:styleId="Emphasis">
    <w:name w:val="Emphasis"/>
    <w:basedOn w:val="DefaultParagraphFont"/>
    <w:uiPriority w:val="20"/>
    <w:qFormat/>
    <w:rsid w:val="00E26BFE"/>
    <w:rPr>
      <w:i/>
      <w:iCs/>
    </w:rPr>
  </w:style>
  <w:style w:type="paragraph" w:styleId="Header">
    <w:name w:val="header"/>
    <w:basedOn w:val="Normal"/>
    <w:link w:val="HeaderChar"/>
    <w:uiPriority w:val="99"/>
    <w:semiHidden/>
    <w:unhideWhenUsed/>
    <w:rsid w:val="00FB77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77A3"/>
  </w:style>
  <w:style w:type="paragraph" w:styleId="Footer">
    <w:name w:val="footer"/>
    <w:basedOn w:val="Normal"/>
    <w:link w:val="FooterChar"/>
    <w:uiPriority w:val="99"/>
    <w:unhideWhenUsed/>
    <w:rsid w:val="00FB7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7A3"/>
  </w:style>
  <w:style w:type="character" w:styleId="Hyperlink">
    <w:name w:val="Hyperlink"/>
    <w:basedOn w:val="DefaultParagraphFont"/>
    <w:uiPriority w:val="99"/>
    <w:semiHidden/>
    <w:unhideWhenUsed/>
    <w:rsid w:val="0031374C"/>
    <w:rPr>
      <w:color w:val="0000FF"/>
      <w:u w:val="single"/>
    </w:rPr>
  </w:style>
  <w:style w:type="paragraph" w:styleId="NoSpacing">
    <w:name w:val="No Spacing"/>
    <w:uiPriority w:val="1"/>
    <w:qFormat/>
    <w:rsid w:val="0031374C"/>
    <w:pPr>
      <w:spacing w:after="0" w:line="240" w:lineRule="auto"/>
    </w:pPr>
  </w:style>
  <w:style w:type="paragraph" w:styleId="BalloonText">
    <w:name w:val="Balloon Text"/>
    <w:basedOn w:val="Normal"/>
    <w:link w:val="BalloonTextChar"/>
    <w:uiPriority w:val="99"/>
    <w:semiHidden/>
    <w:unhideWhenUsed/>
    <w:rsid w:val="003137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7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yajnaperi10@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1886</Words>
  <Characters>10754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yajnaperi10@gmail.com</dc:creator>
  <cp:keywords/>
  <dc:description/>
  <cp:lastModifiedBy>aditya peri</cp:lastModifiedBy>
  <cp:revision>3</cp:revision>
  <dcterms:created xsi:type="dcterms:W3CDTF">2025-11-04T14:43:00Z</dcterms:created>
  <dcterms:modified xsi:type="dcterms:W3CDTF">2025-11-05T08:56:00Z</dcterms:modified>
</cp:coreProperties>
</file>